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outlineLvl w:val="9"/>
        <w:rPr>
          <w:rFonts w:hint="eastAsia" w:ascii="方正小标宋_GBK" w:hAnsi="方正小标宋_GBK" w:eastAsia="方正小标宋_GBK" w:cs="方正小标宋_GBK"/>
          <w:b w:val="0"/>
          <w:bCs w:val="0"/>
          <w:color w:val="000000"/>
          <w:kern w:val="0"/>
          <w:sz w:val="44"/>
          <w:szCs w:val="44"/>
          <w:lang w:eastAsia="zh-CN"/>
        </w:rPr>
      </w:pPr>
      <w:r>
        <w:rPr>
          <w:rFonts w:hint="eastAsia" w:ascii="方正小标宋_GBK" w:hAnsi="方正小标宋_GBK" w:eastAsia="方正小标宋_GBK" w:cs="方正小标宋_GBK"/>
          <w:b w:val="0"/>
          <w:bCs w:val="0"/>
          <w:color w:val="000000"/>
          <w:kern w:val="0"/>
          <w:sz w:val="44"/>
          <w:szCs w:val="44"/>
          <w:lang w:eastAsia="zh-CN"/>
        </w:rPr>
        <w:t>邯郸市人力资源和社会保障局</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outlineLvl w:val="9"/>
        <w:rPr>
          <w:rFonts w:hint="eastAsia" w:ascii="宋体" w:hAnsi="宋体" w:eastAsia="宋体" w:cs="宋体"/>
          <w:b/>
          <w:bCs/>
          <w:color w:val="000000"/>
          <w:kern w:val="0"/>
          <w:sz w:val="44"/>
          <w:szCs w:val="44"/>
          <w:lang w:val="en-US" w:eastAsia="zh-CN"/>
        </w:rPr>
      </w:pPr>
      <w:r>
        <w:rPr>
          <w:rFonts w:hint="eastAsia" w:ascii="方正小标宋_GBK" w:hAnsi="方正小标宋_GBK" w:eastAsia="方正小标宋_GBK" w:cs="方正小标宋_GBK"/>
          <w:b w:val="0"/>
          <w:bCs w:val="0"/>
          <w:color w:val="000000"/>
          <w:kern w:val="0"/>
          <w:sz w:val="44"/>
          <w:szCs w:val="44"/>
          <w:lang w:val="en-US" w:eastAsia="zh-CN"/>
        </w:rPr>
        <w:t>2022年政府信息公开工作年度报告</w:t>
      </w:r>
    </w:p>
    <w:p>
      <w:pPr>
        <w:keepNext w:val="0"/>
        <w:keepLines w:val="0"/>
        <w:pageBreakBefore w:val="0"/>
        <w:widowControl/>
        <w:kinsoku/>
        <w:wordWrap/>
        <w:overflowPunct/>
        <w:topLinePunct w:val="0"/>
        <w:autoSpaceDE/>
        <w:autoSpaceDN/>
        <w:bidi w:val="0"/>
        <w:adjustRightInd/>
        <w:snapToGrid/>
        <w:spacing w:line="576" w:lineRule="exact"/>
        <w:ind w:firstLine="480"/>
        <w:textAlignment w:val="auto"/>
        <w:outlineLvl w:val="9"/>
        <w:rPr>
          <w:rFonts w:hint="eastAsia" w:ascii="宋体" w:hAnsi="宋体" w:eastAsia="宋体" w:cs="宋体"/>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根据《中华人民共和国政府信息公开条例》（以下简称《条例》）和《河北省实施&lt;中华人民共和国政府信息公开条例&gt;办法》等规定，发布本年度报告。报告中所列数据统计期限从2022年1月1日到12月31日。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20</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22</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年，根据《中华人民共和国政府信息公开条例》（以下简称《条例》）和《河北省实施中华人民共和国政府信息公开条例办法》</w:t>
      </w:r>
      <w:r>
        <w:rPr>
          <w:rFonts w:hint="default" w:ascii="Times New Roman" w:hAnsi="Times New Roman" w:eastAsia="仿宋_GB2312" w:cs="Times New Roman"/>
          <w:color w:val="auto"/>
          <w:sz w:val="32"/>
          <w:szCs w:val="32"/>
          <w:lang w:val="en-US" w:eastAsia="zh-CN"/>
        </w:rPr>
        <w:t>要求，</w:t>
      </w:r>
      <w:r>
        <w:rPr>
          <w:rFonts w:hint="eastAsia" w:ascii="Times New Roman" w:hAnsi="Times New Roman" w:eastAsia="仿宋_GB2312" w:cs="Times New Roman"/>
          <w:color w:val="auto"/>
          <w:sz w:val="32"/>
          <w:szCs w:val="32"/>
          <w:lang w:val="en-US" w:eastAsia="zh-CN"/>
        </w:rPr>
        <w:t>邯郸</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市人社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局结合工作实际，以保障人民群众的民主权利、维护人民群众的根本利益为出发点，切实加强组织领导，</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不断</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健全工作机制，认真抓好全面落实政府信息公开条例、促进行政权力公开透明</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，持续加强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政府信息公开工作。现特向社会公布20</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22</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年</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邯郸市人力资源和社会保障局</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政府信息公开工作年度报告，全文包括本年度政府信息公开工作基本情况、主动公开政府信息情况、依申请公开政府信息情况、存在的主要问题及改进措施。本报告由邯郸市人力资源和社会保障局政府信息公开工作领导小组办公室编制，联系电话</w:t>
      </w:r>
      <w:r>
        <w:rPr>
          <w:rFonts w:hint="default" w:ascii="Times New Roman" w:hAnsi="Times New Roman" w:eastAsia="仿宋" w:cs="Times New Roman"/>
          <w:color w:val="auto"/>
          <w:kern w:val="0"/>
          <w:sz w:val="32"/>
          <w:szCs w:val="32"/>
          <w:lang w:val="en-US" w:eastAsia="zh-CN"/>
        </w:rPr>
        <w:t>31115</w:t>
      </w:r>
      <w:r>
        <w:rPr>
          <w:rFonts w:hint="eastAsia" w:ascii="Times New Roman" w:hAnsi="Times New Roman" w:eastAsia="仿宋" w:cs="Times New Roman"/>
          <w:color w:val="auto"/>
          <w:kern w:val="0"/>
          <w:sz w:val="32"/>
          <w:szCs w:val="32"/>
          <w:lang w:val="en-US" w:eastAsia="zh-CN"/>
        </w:rPr>
        <w:t>18</w:t>
      </w:r>
      <w:r>
        <w:rPr>
          <w:rFonts w:hint="default" w:ascii="Times New Roman" w:hAnsi="Times New Roman" w:eastAsia="仿宋"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eastAsia" w:ascii="黑体" w:hAnsi="黑体" w:eastAsia="黑体" w:cs="黑体"/>
          <w:b w:val="0"/>
          <w:bCs w:val="0"/>
          <w:i w:val="0"/>
          <w:caps w:val="0"/>
          <w:color w:val="auto"/>
          <w:spacing w:val="0"/>
          <w:kern w:val="0"/>
          <w:sz w:val="32"/>
          <w:szCs w:val="32"/>
          <w:shd w:val="clear" w:color="auto" w:fill="FFFFFF"/>
          <w:lang w:val="en-US" w:eastAsia="zh-CN" w:bidi="ar"/>
        </w:rPr>
        <w:t>一是加强组织领导。</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成立由局党组主要负责同志任组长的政务公开领导小组，实施全面指导和检查，</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建立</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政府信息公开工作领导小组办公室</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，具体负责政府信息公开工作，指导相关处室（单位）按规定做好政府信息公开，</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形成了主要领导亲自抓、分管同志靠前抓、职能处室分工负责的工作局面。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二是系统全面推进。</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研究制定了《邯郸市人力资源和社会保障局政务公开规定》，详细列出政务公开的指导思想、基本原则、目标任务和方法步骤等，指导督导各县（市、区）局，市局各处室（单位）严格</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抓好</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落实，</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大力</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推进全市人社系统政务公开政务服务工作。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三是规范制度运行。</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人社</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业务点多面广，涉及各阶层人群切身利益，针对工作实际，编制</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并不断完善</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《行政职权与工作流程》，规范各项行政职权，明确审批经办流程。持续完善保密审查、预先审查、依申请公开、考核监督等制度，强化政务公开政务服务工作落实。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四是充实公开内容。</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将就业、社保、考录、人事、劳动关系等涉及干部群众切身利益的政策、事项主动纳入到政务公开</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范畴</w:t>
      </w:r>
      <w:bookmarkStart w:id="0" w:name="_GoBack"/>
      <w:bookmarkEnd w:id="0"/>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，主动公开，让群众知情、放心。聚焦“重点、难点、敏感点、热点、焦点”等问题，结合工作实际，按照相关规定第一时间进行公开。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tbl>
      <w:tblPr>
        <w:tblStyle w:val="6"/>
        <w:tblW w:w="0" w:type="auto"/>
        <w:jc w:val="center"/>
        <w:tblLayout w:type="fixed"/>
        <w:tblCellMar>
          <w:top w:w="0" w:type="dxa"/>
          <w:left w:w="108" w:type="dxa"/>
          <w:bottom w:w="0" w:type="dxa"/>
          <w:right w:w="108" w:type="dxa"/>
        </w:tblCellMar>
      </w:tblPr>
      <w:tblGrid>
        <w:gridCol w:w="3113"/>
        <w:gridCol w:w="1875"/>
        <w:gridCol w:w="1271"/>
        <w:gridCol w:w="1881"/>
      </w:tblGrid>
      <w:tr>
        <w:tblPrEx>
          <w:tblCellMar>
            <w:top w:w="0" w:type="dxa"/>
            <w:left w:w="108" w:type="dxa"/>
            <w:bottom w:w="0" w:type="dxa"/>
            <w:right w:w="108" w:type="dxa"/>
          </w:tblCellMar>
        </w:tblPrEx>
        <w:trPr>
          <w:trHeight w:val="329"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第二十条第（一）项</w:t>
            </w:r>
          </w:p>
        </w:tc>
      </w:tr>
      <w:tr>
        <w:tblPrEx>
          <w:tblCellMar>
            <w:top w:w="0" w:type="dxa"/>
            <w:left w:w="108" w:type="dxa"/>
            <w:bottom w:w="0" w:type="dxa"/>
            <w:right w:w="108" w:type="dxa"/>
          </w:tblCellMar>
        </w:tblPrEx>
        <w:trPr>
          <w:trHeight w:val="666"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信息内容</w:t>
            </w:r>
          </w:p>
        </w:tc>
        <w:tc>
          <w:tcPr>
            <w:tcW w:w="187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本年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制发件数     </w:t>
            </w:r>
          </w:p>
        </w:tc>
        <w:tc>
          <w:tcPr>
            <w:tcW w:w="127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本年</w:t>
            </w:r>
          </w:p>
          <w:p>
            <w:pPr>
              <w:widowControl/>
              <w:spacing w:beforeLines="0" w:afterLines="0" w:afterAutospacing="0" w:line="580" w:lineRule="exact"/>
              <w:jc w:val="center"/>
              <w:rPr>
                <w:color w:val="000000"/>
              </w:rPr>
            </w:pPr>
            <w:r>
              <w:rPr>
                <w:rFonts w:hint="eastAsia" w:ascii="宋体" w:hAnsi="宋体" w:cs="宋体"/>
                <w:color w:val="000000"/>
                <w:kern w:val="0"/>
                <w:sz w:val="20"/>
                <w:szCs w:val="20"/>
              </w:rPr>
              <w:t>废止件数</w:t>
            </w:r>
          </w:p>
        </w:tc>
        <w:tc>
          <w:tcPr>
            <w:tcW w:w="1881" w:type="dxa"/>
            <w:tcBorders>
              <w:top w:val="nil"/>
              <w:left w:val="nil"/>
              <w:bottom w:val="single" w:color="auto" w:sz="4" w:space="0"/>
              <w:right w:val="single" w:color="auto" w:sz="4" w:space="0"/>
            </w:tcBorders>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现行有效件数</w:t>
            </w:r>
          </w:p>
        </w:tc>
      </w:tr>
      <w:tr>
        <w:tblPrEx>
          <w:tblCellMar>
            <w:top w:w="0" w:type="dxa"/>
            <w:left w:w="108" w:type="dxa"/>
            <w:bottom w:w="0" w:type="dxa"/>
            <w:right w:w="108" w:type="dxa"/>
          </w:tblCellMar>
        </w:tblPrEx>
        <w:trPr>
          <w:trHeight w:val="451"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left"/>
              <w:rPr>
                <w:color w:val="000000"/>
              </w:rPr>
            </w:pPr>
            <w:r>
              <w:rPr>
                <w:rFonts w:hint="eastAsia" w:ascii="宋体" w:hAnsi="宋体" w:cs="宋体"/>
                <w:color w:val="000000"/>
                <w:kern w:val="0"/>
                <w:sz w:val="20"/>
                <w:szCs w:val="20"/>
              </w:rPr>
              <w:t>规章</w:t>
            </w:r>
          </w:p>
        </w:tc>
        <w:tc>
          <w:tcPr>
            <w:tcW w:w="187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ascii="宋体" w:hAnsi="宋体" w:eastAsia="宋体" w:cs="宋体"/>
                <w:color w:val="auto"/>
                <w:lang w:eastAsia="zh-CN"/>
              </w:rPr>
            </w:pPr>
            <w:r>
              <w:rPr>
                <w:rFonts w:hint="eastAsia" w:ascii="宋体" w:hAnsi="宋体" w:cs="宋体"/>
                <w:color w:val="auto"/>
                <w:lang w:val="en-US" w:eastAsia="zh-CN"/>
              </w:rPr>
              <w:t>0</w:t>
            </w:r>
          </w:p>
        </w:tc>
        <w:tc>
          <w:tcPr>
            <w:tcW w:w="127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ascii="宋体" w:hAnsi="宋体" w:eastAsia="宋体" w:cs="宋体"/>
                <w:color w:val="auto"/>
                <w:lang w:eastAsia="zh-CN"/>
              </w:rPr>
            </w:pPr>
            <w:r>
              <w:rPr>
                <w:rFonts w:hint="eastAsia" w:ascii="宋体" w:hAnsi="宋体" w:cs="宋体"/>
                <w:color w:val="auto"/>
                <w:lang w:val="en-US" w:eastAsia="zh-CN"/>
              </w:rPr>
              <w:t>0</w:t>
            </w:r>
          </w:p>
        </w:tc>
        <w:tc>
          <w:tcPr>
            <w:tcW w:w="1881" w:type="dxa"/>
            <w:tcBorders>
              <w:top w:val="nil"/>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ascii="宋体" w:hAnsi="宋体" w:eastAsia="宋体" w:cs="宋体"/>
                <w:color w:val="auto"/>
                <w:lang w:val="en-US" w:eastAsia="zh-CN"/>
              </w:rPr>
            </w:pPr>
            <w:r>
              <w:rPr>
                <w:rFonts w:hint="eastAsia" w:ascii="宋体" w:hAnsi="宋体" w:cs="宋体"/>
                <w:color w:val="auto"/>
                <w:lang w:val="en-US" w:eastAsia="zh-CN"/>
              </w:rPr>
              <w:t>0</w:t>
            </w:r>
          </w:p>
        </w:tc>
      </w:tr>
      <w:tr>
        <w:tblPrEx>
          <w:tblCellMar>
            <w:top w:w="0" w:type="dxa"/>
            <w:left w:w="108" w:type="dxa"/>
            <w:bottom w:w="0" w:type="dxa"/>
            <w:right w:w="108" w:type="dxa"/>
          </w:tblCellMar>
        </w:tblPrEx>
        <w:trPr>
          <w:trHeight w:val="456"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left"/>
              <w:rPr>
                <w:color w:val="000000"/>
              </w:rPr>
            </w:pPr>
            <w:r>
              <w:rPr>
                <w:rFonts w:hint="eastAsia" w:ascii="宋体" w:hAnsi="宋体" w:cs="宋体"/>
                <w:color w:val="000000"/>
                <w:kern w:val="0"/>
                <w:sz w:val="20"/>
                <w:szCs w:val="20"/>
              </w:rPr>
              <w:t>规范性文件</w:t>
            </w:r>
          </w:p>
        </w:tc>
        <w:tc>
          <w:tcPr>
            <w:tcW w:w="1875" w:type="dxa"/>
            <w:tcBorders>
              <w:top w:val="nil"/>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1271" w:type="dxa"/>
            <w:tcBorders>
              <w:top w:val="nil"/>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1881" w:type="dxa"/>
            <w:tcBorders>
              <w:top w:val="nil"/>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 7</w:t>
            </w:r>
          </w:p>
        </w:tc>
      </w:tr>
      <w:tr>
        <w:tblPrEx>
          <w:tblCellMar>
            <w:top w:w="0" w:type="dxa"/>
            <w:left w:w="108" w:type="dxa"/>
            <w:bottom w:w="0" w:type="dxa"/>
            <w:right w:w="108" w:type="dxa"/>
          </w:tblCellMar>
        </w:tblPrEx>
        <w:trPr>
          <w:trHeight w:val="460"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第二十条第（五）项</w:t>
            </w:r>
          </w:p>
        </w:tc>
      </w:tr>
      <w:tr>
        <w:tblPrEx>
          <w:tblCellMar>
            <w:top w:w="0" w:type="dxa"/>
            <w:left w:w="108" w:type="dxa"/>
            <w:bottom w:w="0" w:type="dxa"/>
            <w:right w:w="108" w:type="dxa"/>
          </w:tblCellMar>
        </w:tblPrEx>
        <w:trPr>
          <w:trHeight w:val="468"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信息内容</w:t>
            </w:r>
          </w:p>
        </w:tc>
        <w:tc>
          <w:tcPr>
            <w:tcW w:w="5027" w:type="dxa"/>
            <w:gridSpan w:val="3"/>
            <w:tcBorders>
              <w:top w:val="single" w:color="auto" w:sz="4" w:space="0"/>
              <w:left w:val="nil"/>
              <w:bottom w:val="single" w:color="auto" w:sz="4" w:space="0"/>
              <w:right w:val="single" w:color="auto" w:sz="4" w:space="0"/>
            </w:tcBorders>
            <w:noWrap w:val="0"/>
            <w:vAlign w:val="center"/>
          </w:tcPr>
          <w:p>
            <w:pPr>
              <w:widowControl/>
              <w:spacing w:beforeLines="0" w:after="0" w:afterLines="0" w:afterAutospacing="0" w:line="580" w:lineRule="exact"/>
              <w:jc w:val="center"/>
              <w:rPr>
                <w:color w:val="000000"/>
              </w:rPr>
            </w:pPr>
            <w:r>
              <w:rPr>
                <w:rFonts w:hint="eastAsia" w:ascii="宋体" w:hAnsi="宋体" w:cs="宋体"/>
                <w:color w:val="000000"/>
                <w:kern w:val="0"/>
                <w:sz w:val="20"/>
                <w:szCs w:val="20"/>
              </w:rPr>
              <w:t>本年处理决定数量</w:t>
            </w:r>
          </w:p>
        </w:tc>
      </w:tr>
      <w:tr>
        <w:tblPrEx>
          <w:tblCellMar>
            <w:top w:w="0" w:type="dxa"/>
            <w:left w:w="108" w:type="dxa"/>
            <w:bottom w:w="0" w:type="dxa"/>
            <w:right w:w="108" w:type="dxa"/>
          </w:tblCellMar>
        </w:tblPrEx>
        <w:trPr>
          <w:trHeight w:val="468"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both"/>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行政许可</w:t>
            </w:r>
          </w:p>
        </w:tc>
        <w:tc>
          <w:tcPr>
            <w:tcW w:w="5027" w:type="dxa"/>
            <w:gridSpan w:val="3"/>
            <w:tcBorders>
              <w:top w:val="single" w:color="auto" w:sz="4" w:space="0"/>
              <w:left w:val="nil"/>
              <w:bottom w:val="single" w:color="auto" w:sz="4" w:space="0"/>
              <w:right w:val="single" w:color="auto" w:sz="4" w:space="0"/>
            </w:tcBorders>
            <w:noWrap w:val="0"/>
            <w:vAlign w:val="center"/>
          </w:tcPr>
          <w:p>
            <w:pPr>
              <w:widowControl/>
              <w:spacing w:beforeLines="0" w:after="0" w:afterLines="0" w:afterAutospacing="0" w:line="580" w:lineRule="exact"/>
              <w:jc w:val="center"/>
              <w:rPr>
                <w:rFonts w:hint="eastAsia" w:ascii="宋体" w:hAnsi="宋体" w:cs="宋体"/>
                <w:color w:val="000000"/>
                <w:kern w:val="0"/>
                <w:sz w:val="20"/>
                <w:szCs w:val="20"/>
              </w:rPr>
            </w:pPr>
            <w:r>
              <w:rPr>
                <w:rFonts w:hint="eastAsia" w:ascii="宋体"/>
                <w:color w:val="000000"/>
                <w:kern w:val="0"/>
                <w:sz w:val="20"/>
                <w:szCs w:val="20"/>
                <w:lang w:val="en-US" w:eastAsia="zh-CN"/>
              </w:rPr>
              <w:t>--</w:t>
            </w:r>
          </w:p>
        </w:tc>
      </w:tr>
      <w:tr>
        <w:tblPrEx>
          <w:tblCellMar>
            <w:top w:w="0" w:type="dxa"/>
            <w:left w:w="108" w:type="dxa"/>
            <w:bottom w:w="0" w:type="dxa"/>
            <w:right w:w="108" w:type="dxa"/>
          </w:tblCellMar>
        </w:tblPrEx>
        <w:trPr>
          <w:trHeight w:val="492"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第二十条第（六）项</w:t>
            </w:r>
          </w:p>
        </w:tc>
      </w:tr>
      <w:tr>
        <w:tblPrEx>
          <w:tblCellMar>
            <w:top w:w="0" w:type="dxa"/>
            <w:left w:w="108" w:type="dxa"/>
            <w:bottom w:w="0" w:type="dxa"/>
            <w:right w:w="108" w:type="dxa"/>
          </w:tblCellMar>
        </w:tblPrEx>
        <w:trPr>
          <w:trHeight w:val="370"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信息内容</w:t>
            </w:r>
          </w:p>
        </w:tc>
        <w:tc>
          <w:tcPr>
            <w:tcW w:w="5027" w:type="dxa"/>
            <w:gridSpan w:val="3"/>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本年处理决定数量</w:t>
            </w:r>
          </w:p>
        </w:tc>
      </w:tr>
      <w:tr>
        <w:tblPrEx>
          <w:tblCellMar>
            <w:top w:w="0" w:type="dxa"/>
            <w:left w:w="108" w:type="dxa"/>
            <w:bottom w:w="0" w:type="dxa"/>
            <w:right w:w="108" w:type="dxa"/>
          </w:tblCellMar>
        </w:tblPrEx>
        <w:trPr>
          <w:trHeight w:val="444"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left"/>
              <w:rPr>
                <w:color w:val="000000"/>
              </w:rPr>
            </w:pPr>
            <w:r>
              <w:rPr>
                <w:rFonts w:hint="eastAsia" w:ascii="宋体" w:hAnsi="宋体" w:cs="宋体"/>
                <w:color w:val="000000"/>
                <w:kern w:val="0"/>
                <w:sz w:val="20"/>
                <w:szCs w:val="20"/>
              </w:rPr>
              <w:t>行政处罚</w:t>
            </w:r>
          </w:p>
        </w:tc>
        <w:tc>
          <w:tcPr>
            <w:tcW w:w="5027" w:type="dxa"/>
            <w:gridSpan w:val="3"/>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color w:val="000000"/>
              </w:rPr>
            </w:pPr>
            <w:r>
              <w:rPr>
                <w:rFonts w:hint="eastAsia" w:ascii="宋体"/>
                <w:color w:val="000000"/>
                <w:kern w:val="0"/>
                <w:sz w:val="20"/>
                <w:szCs w:val="20"/>
                <w:lang w:val="en-US" w:eastAsia="zh-CN"/>
              </w:rPr>
              <w:t>--</w:t>
            </w:r>
          </w:p>
        </w:tc>
      </w:tr>
      <w:tr>
        <w:tblPrEx>
          <w:tblCellMar>
            <w:top w:w="0" w:type="dxa"/>
            <w:left w:w="108" w:type="dxa"/>
            <w:bottom w:w="0" w:type="dxa"/>
            <w:right w:w="108" w:type="dxa"/>
          </w:tblCellMar>
        </w:tblPrEx>
        <w:trPr>
          <w:trHeight w:val="469"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left"/>
              <w:rPr>
                <w:color w:val="000000"/>
              </w:rPr>
            </w:pPr>
            <w:r>
              <w:rPr>
                <w:rFonts w:hint="eastAsia" w:ascii="宋体" w:hAnsi="宋体" w:cs="宋体"/>
                <w:color w:val="000000"/>
                <w:kern w:val="0"/>
                <w:sz w:val="20"/>
                <w:szCs w:val="20"/>
              </w:rPr>
              <w:t>行政强制</w:t>
            </w:r>
          </w:p>
        </w:tc>
        <w:tc>
          <w:tcPr>
            <w:tcW w:w="5027" w:type="dxa"/>
            <w:gridSpan w:val="3"/>
            <w:tcBorders>
              <w:top w:val="nil"/>
              <w:left w:val="nil"/>
              <w:bottom w:val="single" w:color="auto" w:sz="4" w:space="0"/>
              <w:right w:val="single" w:color="auto" w:sz="4" w:space="0"/>
            </w:tcBorders>
            <w:noWrap w:val="0"/>
            <w:vAlign w:val="center"/>
          </w:tcPr>
          <w:p>
            <w:pPr>
              <w:widowControl/>
              <w:spacing w:beforeLines="0" w:afterLines="0" w:afterAutospacing="0" w:line="580" w:lineRule="exact"/>
              <w:jc w:val="center"/>
              <w:rPr>
                <w:color w:val="000000"/>
              </w:rPr>
            </w:pPr>
            <w:r>
              <w:rPr>
                <w:rFonts w:hint="eastAsia" w:ascii="宋体"/>
                <w:color w:val="000000"/>
                <w:kern w:val="0"/>
                <w:sz w:val="20"/>
                <w:szCs w:val="20"/>
                <w:lang w:val="en-US" w:eastAsia="zh-CN"/>
              </w:rPr>
              <w:t>--</w:t>
            </w:r>
          </w:p>
        </w:tc>
      </w:tr>
      <w:tr>
        <w:tblPrEx>
          <w:tblCellMar>
            <w:top w:w="0" w:type="dxa"/>
            <w:left w:w="108" w:type="dxa"/>
            <w:bottom w:w="0" w:type="dxa"/>
            <w:right w:w="108" w:type="dxa"/>
          </w:tblCellMar>
        </w:tblPrEx>
        <w:trPr>
          <w:trHeight w:val="304"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第二十条第（八）项</w:t>
            </w:r>
          </w:p>
        </w:tc>
      </w:tr>
      <w:tr>
        <w:tblPrEx>
          <w:tblCellMar>
            <w:top w:w="0" w:type="dxa"/>
            <w:left w:w="108" w:type="dxa"/>
            <w:bottom w:w="0" w:type="dxa"/>
            <w:right w:w="108" w:type="dxa"/>
          </w:tblCellMar>
        </w:tblPrEx>
        <w:trPr>
          <w:trHeight w:val="216"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center"/>
              <w:rPr>
                <w:color w:val="000000"/>
              </w:rPr>
            </w:pPr>
            <w:r>
              <w:rPr>
                <w:rFonts w:hint="eastAsia" w:ascii="宋体" w:hAnsi="宋体" w:cs="宋体"/>
                <w:color w:val="000000"/>
                <w:kern w:val="0"/>
                <w:sz w:val="20"/>
                <w:szCs w:val="20"/>
              </w:rPr>
              <w:t>信息内容</w:t>
            </w:r>
          </w:p>
        </w:tc>
        <w:tc>
          <w:tcPr>
            <w:tcW w:w="5027" w:type="dxa"/>
            <w:gridSpan w:val="3"/>
            <w:tcBorders>
              <w:top w:val="nil"/>
              <w:left w:val="nil"/>
              <w:bottom w:val="single" w:color="auto" w:sz="4" w:space="0"/>
              <w:right w:val="single" w:color="000000" w:sz="4" w:space="0"/>
            </w:tcBorders>
            <w:noWrap w:val="0"/>
            <w:vAlign w:val="center"/>
          </w:tcPr>
          <w:p>
            <w:pPr>
              <w:widowControl/>
              <w:spacing w:beforeLines="0" w:afterLines="0" w:afterAutospacing="0" w:line="580" w:lineRule="exact"/>
              <w:jc w:val="center"/>
              <w:rPr>
                <w:color w:val="000000"/>
              </w:rPr>
            </w:pPr>
            <w:r>
              <w:rPr>
                <w:color w:val="000000"/>
              </w:rPr>
              <w:t>本年度收费金额（单位：万元）</w:t>
            </w:r>
          </w:p>
        </w:tc>
      </w:tr>
      <w:tr>
        <w:tblPrEx>
          <w:tblCellMar>
            <w:top w:w="0" w:type="dxa"/>
            <w:left w:w="108" w:type="dxa"/>
            <w:bottom w:w="0" w:type="dxa"/>
            <w:right w:w="108" w:type="dxa"/>
          </w:tblCellMar>
        </w:tblPrEx>
        <w:trPr>
          <w:trHeight w:val="282" w:hRule="atLeast"/>
          <w:jc w:val="center"/>
        </w:trPr>
        <w:tc>
          <w:tcPr>
            <w:tcW w:w="3113" w:type="dxa"/>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left"/>
              <w:rPr>
                <w:color w:val="000000"/>
              </w:rPr>
            </w:pPr>
            <w:r>
              <w:rPr>
                <w:rFonts w:hint="eastAsia" w:ascii="宋体" w:hAnsi="宋体" w:cs="宋体"/>
                <w:color w:val="000000"/>
                <w:kern w:val="0"/>
                <w:sz w:val="20"/>
                <w:szCs w:val="20"/>
              </w:rPr>
              <w:t>行政事业性收费</w:t>
            </w:r>
          </w:p>
        </w:tc>
        <w:tc>
          <w:tcPr>
            <w:tcW w:w="5027" w:type="dxa"/>
            <w:gridSpan w:val="3"/>
            <w:tcBorders>
              <w:top w:val="nil"/>
              <w:left w:val="nil"/>
              <w:bottom w:val="single" w:color="auto" w:sz="4" w:space="0"/>
              <w:right w:val="single" w:color="000000" w:sz="4" w:space="0"/>
            </w:tcBorders>
            <w:noWrap w:val="0"/>
            <w:vAlign w:val="center"/>
          </w:tcPr>
          <w:p>
            <w:pPr>
              <w:widowControl/>
              <w:spacing w:beforeLines="0" w:afterLines="0" w:afterAutospacing="0" w:line="580" w:lineRule="exact"/>
              <w:jc w:val="center"/>
              <w:rPr>
                <w:rFonts w:hint="default" w:eastAsia="宋体"/>
                <w:color w:val="000000"/>
                <w:lang w:val="en-US" w:eastAsia="zh-CN"/>
              </w:rPr>
            </w:pPr>
            <w:r>
              <w:rPr>
                <w:rFonts w:hint="eastAsia" w:ascii="宋体"/>
                <w:color w:val="000000"/>
                <w:kern w:val="0"/>
                <w:sz w:val="20"/>
                <w:szCs w:val="20"/>
                <w:lang w:val="en-US" w:eastAsia="zh-CN"/>
              </w:rPr>
              <w:t>431.7</w:t>
            </w:r>
          </w:p>
        </w:tc>
      </w:tr>
    </w:tbl>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三、</w:t>
      </w:r>
      <w:r>
        <w:rPr>
          <w:rFonts w:hint="eastAsia" w:ascii="黑体" w:hAnsi="黑体" w:eastAsia="黑体" w:cs="黑体"/>
          <w:b w:val="0"/>
          <w:bCs w:val="0"/>
          <w:color w:val="000000"/>
          <w:kern w:val="0"/>
          <w:sz w:val="32"/>
          <w:szCs w:val="32"/>
        </w:rPr>
        <w:t>收到和处理政府信息公开申请情况</w:t>
      </w:r>
    </w:p>
    <w:tbl>
      <w:tblPr>
        <w:tblStyle w:val="6"/>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56"/>
        <w:gridCol w:w="2952"/>
        <w:gridCol w:w="652"/>
        <w:gridCol w:w="672"/>
        <w:gridCol w:w="780"/>
        <w:gridCol w:w="816"/>
        <w:gridCol w:w="851"/>
        <w:gridCol w:w="909"/>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restart"/>
            <w:tcBorders>
              <w:top w:val="single" w:color="auto" w:sz="4" w:space="0"/>
              <w:left w:val="single" w:color="auto" w:sz="4" w:space="0"/>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（本列数据的勾稽关系为：第一项加第二项之和，等于第三项加第四项之和）</w:t>
            </w:r>
          </w:p>
        </w:tc>
        <w:tc>
          <w:tcPr>
            <w:tcW w:w="5411" w:type="dxa"/>
            <w:gridSpan w:val="7"/>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vMerge w:val="continue"/>
            <w:tcBorders>
              <w:top w:val="single" w:color="auto" w:sz="4" w:space="0"/>
              <w:left w:val="single" w:color="auto" w:sz="4" w:space="0"/>
              <w:bottom w:val="single" w:color="auto" w:sz="4" w:space="0"/>
              <w:right w:val="single" w:color="auto" w:sz="4" w:space="0"/>
            </w:tcBorders>
            <w:shd w:val="clear" w:color="auto" w:fill="C7DAF1"/>
            <w:noWrap w:val="0"/>
            <w:vAlign w:val="center"/>
          </w:tcPr>
          <w:p>
            <w:pPr>
              <w:spacing w:beforeLines="0" w:afterLines="0" w:line="580" w:lineRule="exact"/>
              <w:jc w:val="left"/>
              <w:rPr>
                <w:rFonts w:hint="eastAsia" w:ascii="宋体" w:hAnsi="宋体" w:cs="宋体"/>
                <w:color w:val="333333"/>
                <w:szCs w:val="21"/>
              </w:rPr>
            </w:pPr>
          </w:p>
        </w:tc>
        <w:tc>
          <w:tcPr>
            <w:tcW w:w="652" w:type="dxa"/>
            <w:vMerge w:val="restart"/>
            <w:tcBorders>
              <w:top w:val="nil"/>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自然人</w:t>
            </w:r>
          </w:p>
        </w:tc>
        <w:tc>
          <w:tcPr>
            <w:tcW w:w="4028" w:type="dxa"/>
            <w:gridSpan w:val="5"/>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法人或其他组织</w:t>
            </w:r>
          </w:p>
        </w:tc>
        <w:tc>
          <w:tcPr>
            <w:tcW w:w="731" w:type="dxa"/>
            <w:vMerge w:val="restart"/>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24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beforeLines="0" w:afterLines="0" w:line="580" w:lineRule="exact"/>
              <w:jc w:val="left"/>
              <w:rPr>
                <w:rFonts w:hint="eastAsia" w:ascii="宋体" w:hAnsi="宋体" w:cs="宋体"/>
                <w:color w:val="333333"/>
                <w:szCs w:val="21"/>
              </w:rPr>
            </w:pPr>
          </w:p>
        </w:tc>
        <w:tc>
          <w:tcPr>
            <w:tcW w:w="652" w:type="dxa"/>
            <w:vMerge w:val="continue"/>
            <w:tcBorders>
              <w:top w:val="nil"/>
              <w:left w:val="nil"/>
              <w:bottom w:val="single" w:color="auto" w:sz="4" w:space="0"/>
              <w:right w:val="single" w:color="auto" w:sz="4" w:space="0"/>
            </w:tcBorders>
            <w:shd w:val="clear" w:color="auto" w:fill="auto"/>
            <w:noWrap w:val="0"/>
            <w:vAlign w:val="center"/>
          </w:tcPr>
          <w:p>
            <w:pPr>
              <w:spacing w:beforeLines="0" w:afterLines="0" w:line="580" w:lineRule="exact"/>
              <w:jc w:val="left"/>
              <w:rPr>
                <w:rFonts w:hint="eastAsia" w:ascii="宋体" w:hAnsi="宋体" w:cs="宋体"/>
                <w:color w:val="333333"/>
                <w:szCs w:val="21"/>
              </w:rPr>
            </w:pPr>
          </w:p>
        </w:tc>
        <w:tc>
          <w:tcPr>
            <w:tcW w:w="672" w:type="dxa"/>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商业企业</w:t>
            </w:r>
          </w:p>
        </w:tc>
        <w:tc>
          <w:tcPr>
            <w:tcW w:w="780" w:type="dxa"/>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科研机构</w:t>
            </w:r>
          </w:p>
        </w:tc>
        <w:tc>
          <w:tcPr>
            <w:tcW w:w="816" w:type="dxa"/>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社会公益组织</w:t>
            </w:r>
          </w:p>
        </w:tc>
        <w:tc>
          <w:tcPr>
            <w:tcW w:w="851" w:type="dxa"/>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法律服务机构</w:t>
            </w:r>
          </w:p>
        </w:tc>
        <w:tc>
          <w:tcPr>
            <w:tcW w:w="909" w:type="dxa"/>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其他</w:t>
            </w:r>
          </w:p>
        </w:tc>
        <w:tc>
          <w:tcPr>
            <w:tcW w:w="731" w:type="dxa"/>
            <w:vMerge w:val="continue"/>
            <w:tcBorders>
              <w:top w:val="single" w:color="auto" w:sz="4" w:space="0"/>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color w:val="333333"/>
                <w:sz w:val="20"/>
                <w:szCs w:val="20"/>
              </w:rPr>
              <w:t>一、本年新收政府信息公开申请数量</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5</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Theme="minorEastAsia"/>
                <w:lang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color w:val="333333"/>
                <w:sz w:val="20"/>
                <w:szCs w:val="20"/>
              </w:rPr>
              <w:t>二、上年结转政府信息公开申请数量</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eastAsia="宋体"/>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restart"/>
            <w:tcBorders>
              <w:top w:val="nil"/>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color w:val="333333"/>
                <w:sz w:val="20"/>
                <w:szCs w:val="20"/>
              </w:rPr>
              <w:t>三、本年度办理结果</w:t>
            </w:r>
          </w:p>
        </w:tc>
        <w:tc>
          <w:tcPr>
            <w:tcW w:w="3708" w:type="dxa"/>
            <w:gridSpan w:val="2"/>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（一）予以公开</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eastAsia="zh-CN"/>
              </w:rPr>
            </w:pPr>
            <w:r>
              <w:rPr>
                <w:rFonts w:hint="eastAsia"/>
                <w:lang w:val="en-US" w:eastAsia="zh-CN"/>
              </w:rPr>
              <w:t>5</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3708" w:type="dxa"/>
            <w:gridSpan w:val="2"/>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（二）部分公开（区分处理的，只计这一情形，不计其他情形）</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restart"/>
            <w:tcBorders>
              <w:top w:val="nil"/>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（三）不予公开</w:t>
            </w: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1.属于国家秘密</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2.其他法律行政法规禁止公开</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3.危及“三安全一稳定”</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4.保护第三方合法权益</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5.属于三类内部事务信息</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6.属于四类过程性信息</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7.属于行政执法案卷</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8.属于行政查询事项</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restart"/>
            <w:tcBorders>
              <w:top w:val="nil"/>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（四）无法提供</w:t>
            </w: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1.本机关不掌握相关政府信息</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2.没有现成信息需要另行制作</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3.补正后申请内容仍不明确</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restart"/>
            <w:tcBorders>
              <w:top w:val="nil"/>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（五）不予处理</w:t>
            </w: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1.信访举报投诉类申请</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2.重复申请</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3.要求提供公开出版物</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4.无正当理由大量反复申请</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5.要求行政机关确认或重新出具已获取信息</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restart"/>
            <w:tcBorders>
              <w:top w:val="single" w:color="auto" w:sz="4" w:space="0"/>
              <w:left w:val="nil"/>
              <w:right w:val="single" w:color="auto" w:sz="4" w:space="0"/>
            </w:tcBorders>
            <w:noWrap w:val="0"/>
            <w:vAlign w:val="center"/>
          </w:tcPr>
          <w:p>
            <w:pPr>
              <w:widowControl/>
              <w:spacing w:beforeLines="0" w:afterLines="0" w:afterAutospacing="0" w:line="580" w:lineRule="exact"/>
              <w:jc w:val="left"/>
              <w:rPr>
                <w:rFonts w:ascii="楷体" w:hAnsi="楷体" w:eastAsia="楷体" w:cs="楷体"/>
                <w:color w:val="333333"/>
                <w:sz w:val="20"/>
                <w:szCs w:val="20"/>
              </w:rPr>
            </w:pPr>
            <w:r>
              <w:rPr>
                <w:rFonts w:hint="eastAsia" w:ascii="楷体" w:hAnsi="楷体" w:eastAsia="楷体" w:cs="楷体"/>
                <w:color w:val="333333"/>
                <w:sz w:val="20"/>
                <w:szCs w:val="20"/>
              </w:rPr>
              <w:t>（六）其他处理</w:t>
            </w: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rPr>
                <w:rFonts w:hint="eastAsia" w:ascii="楷体" w:hAnsi="楷体" w:eastAsia="楷体" w:cs="楷体"/>
                <w:color w:val="333333"/>
                <w:sz w:val="20"/>
                <w:szCs w:val="20"/>
                <w:lang w:val="en-US" w:eastAsia="zh-CN"/>
              </w:rPr>
            </w:pPr>
            <w:r>
              <w:rPr>
                <w:rFonts w:hint="eastAsia" w:ascii="楷体" w:hAnsi="楷体" w:eastAsia="楷体" w:cs="楷体"/>
                <w:color w:val="333333"/>
                <w:sz w:val="20"/>
                <w:szCs w:val="20"/>
              </w:rPr>
              <w:t>1.申请人</w:t>
            </w:r>
            <w:r>
              <w:rPr>
                <w:rFonts w:hint="eastAsia" w:ascii="楷体" w:hAnsi="楷体" w:eastAsia="楷体" w:cs="楷体"/>
                <w:color w:val="333333"/>
                <w:sz w:val="20"/>
                <w:szCs w:val="20"/>
                <w:lang w:eastAsia="zh-CN"/>
              </w:rPr>
              <w:t>无正当理由逾期不补正、行政机关不再处理其他政府公开申请</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left w:val="nil"/>
              <w:right w:val="single" w:color="auto" w:sz="4" w:space="0"/>
            </w:tcBorders>
            <w:noWrap w:val="0"/>
            <w:vAlign w:val="center"/>
          </w:tcPr>
          <w:p>
            <w:pPr>
              <w:widowControl/>
              <w:spacing w:beforeLines="0" w:afterLines="0" w:afterAutospacing="0" w:line="580" w:lineRule="exact"/>
              <w:jc w:val="left"/>
              <w:rPr>
                <w:rFonts w:ascii="楷体" w:hAnsi="楷体" w:eastAsia="楷体" w:cs="楷体"/>
                <w:color w:val="333333"/>
                <w:sz w:val="20"/>
                <w:szCs w:val="20"/>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rPr>
                <w:rFonts w:hint="default" w:ascii="楷体" w:hAnsi="楷体" w:eastAsia="楷体" w:cs="楷体"/>
                <w:color w:val="333333"/>
                <w:sz w:val="20"/>
                <w:szCs w:val="20"/>
                <w:lang w:val="en-US" w:eastAsia="zh-CN"/>
              </w:rPr>
            </w:pPr>
            <w:r>
              <w:rPr>
                <w:rFonts w:hint="eastAsia" w:ascii="楷体" w:hAnsi="楷体" w:eastAsia="楷体" w:cs="楷体"/>
                <w:color w:val="333333"/>
                <w:sz w:val="20"/>
                <w:szCs w:val="20"/>
              </w:rPr>
              <w:t>2.申请人</w:t>
            </w:r>
            <w:r>
              <w:rPr>
                <w:rFonts w:hint="eastAsia" w:ascii="楷体" w:hAnsi="楷体" w:eastAsia="楷体" w:cs="楷体"/>
                <w:color w:val="333333"/>
                <w:sz w:val="20"/>
                <w:szCs w:val="20"/>
                <w:lang w:eastAsia="zh-CN"/>
              </w:rPr>
              <w:t>逾期未按收费通知要求缴纳费用、行政机关不再处理其他政府公开申请</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756" w:type="dxa"/>
            <w:vMerge w:val="continue"/>
            <w:tcBorders>
              <w:left w:val="nil"/>
              <w:bottom w:val="single" w:color="auto" w:sz="4" w:space="0"/>
              <w:right w:val="single" w:color="auto" w:sz="4" w:space="0"/>
            </w:tcBorders>
            <w:noWrap w:val="0"/>
            <w:vAlign w:val="center"/>
          </w:tcPr>
          <w:p>
            <w:pPr>
              <w:widowControl/>
              <w:spacing w:beforeLines="0" w:afterLines="0" w:afterAutospacing="0" w:line="580" w:lineRule="exact"/>
              <w:jc w:val="left"/>
              <w:rPr>
                <w:rFonts w:ascii="楷体" w:hAnsi="楷体" w:eastAsia="楷体" w:cs="楷体"/>
                <w:color w:val="333333"/>
                <w:sz w:val="20"/>
                <w:szCs w:val="20"/>
              </w:rPr>
            </w:pPr>
          </w:p>
        </w:tc>
        <w:tc>
          <w:tcPr>
            <w:tcW w:w="29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rPr>
                <w:rFonts w:ascii="楷体" w:hAnsi="楷体" w:eastAsia="楷体" w:cs="楷体"/>
                <w:color w:val="333333"/>
                <w:sz w:val="20"/>
                <w:szCs w:val="20"/>
              </w:rPr>
            </w:pPr>
            <w:r>
              <w:rPr>
                <w:rFonts w:hint="eastAsia" w:ascii="楷体" w:hAnsi="楷体" w:eastAsia="楷体" w:cs="楷体"/>
                <w:color w:val="333333"/>
                <w:sz w:val="20"/>
                <w:szCs w:val="20"/>
              </w:rPr>
              <w:t>3.其他</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eastAsia="宋体"/>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eastAsia="宋体"/>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eastAsia="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3708" w:type="dxa"/>
            <w:gridSpan w:val="2"/>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ascii="楷体" w:hAnsi="楷体" w:eastAsia="楷体" w:cs="楷体"/>
                <w:color w:val="333333"/>
                <w:sz w:val="20"/>
                <w:szCs w:val="20"/>
              </w:rPr>
              <w:t>（七）总计</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5</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73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eastAsia="宋体"/>
                <w:lang w:val="en-US" w:eastAsia="zh-CN"/>
              </w:rPr>
            </w:pPr>
            <w:r>
              <w:rPr>
                <w:rFonts w:hint="eastAsia"/>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left"/>
            </w:pPr>
            <w:r>
              <w:rPr>
                <w:rFonts w:hint="eastAsia"/>
                <w:color w:val="333333"/>
                <w:sz w:val="20"/>
                <w:szCs w:val="20"/>
              </w:rPr>
              <w:t>四、结转下年度继续办理</w:t>
            </w:r>
          </w:p>
        </w:tc>
        <w:tc>
          <w:tcPr>
            <w:tcW w:w="65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eastAsia="宋体"/>
                <w:lang w:val="en-US" w:eastAsia="zh-CN"/>
              </w:rPr>
            </w:pPr>
            <w:r>
              <w:rPr>
                <w:rFonts w:hint="eastAsia"/>
                <w:lang w:val="en-US" w:eastAsia="zh-CN"/>
              </w:rPr>
              <w:t>0</w:t>
            </w:r>
          </w:p>
        </w:tc>
        <w:tc>
          <w:tcPr>
            <w:tcW w:w="672"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rPr>
            </w:pPr>
            <w:r>
              <w:rPr>
                <w:rFonts w:hint="eastAsia"/>
              </w:rPr>
              <w:t>0</w:t>
            </w:r>
          </w:p>
        </w:tc>
        <w:tc>
          <w:tcPr>
            <w:tcW w:w="78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rPr>
            </w:pPr>
            <w:r>
              <w:rPr>
                <w:rFonts w:hint="eastAsia"/>
              </w:rPr>
              <w:t>0</w:t>
            </w:r>
          </w:p>
        </w:tc>
        <w:tc>
          <w:tcPr>
            <w:tcW w:w="81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rPr>
            </w:pPr>
            <w:r>
              <w:rPr>
                <w:rFonts w:hint="eastAsia"/>
              </w:rPr>
              <w:t>0</w:t>
            </w:r>
          </w:p>
        </w:tc>
        <w:tc>
          <w:tcPr>
            <w:tcW w:w="851"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rPr>
            </w:pPr>
            <w:r>
              <w:rPr>
                <w:rFonts w:hint="eastAsia"/>
              </w:rPr>
              <w:t>0</w:t>
            </w:r>
          </w:p>
        </w:tc>
        <w:tc>
          <w:tcPr>
            <w:tcW w:w="909"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rPr>
            </w:pPr>
            <w:r>
              <w:rPr>
                <w:rFonts w:hint="eastAsia"/>
              </w:rPr>
              <w:t>0</w:t>
            </w:r>
          </w:p>
        </w:tc>
        <w:tc>
          <w:tcPr>
            <w:tcW w:w="731" w:type="dxa"/>
            <w:tcBorders>
              <w:top w:val="single" w:color="auto" w:sz="4" w:space="0"/>
              <w:left w:val="nil"/>
              <w:bottom w:val="single" w:color="auto" w:sz="4" w:space="0"/>
              <w:right w:val="single" w:color="auto" w:sz="4" w:space="0"/>
            </w:tcBorders>
            <w:noWrap w:val="0"/>
            <w:vAlign w:val="center"/>
          </w:tcPr>
          <w:p>
            <w:pPr>
              <w:spacing w:beforeLines="0" w:afterLines="0" w:line="580" w:lineRule="exact"/>
              <w:jc w:val="center"/>
              <w:rPr>
                <w:rFonts w:hint="eastAsia" w:ascii="宋体" w:hAnsi="宋体" w:eastAsia="宋体" w:cs="宋体"/>
                <w:color w:val="333333"/>
                <w:szCs w:val="21"/>
                <w:lang w:val="en-US" w:eastAsia="zh-CN"/>
              </w:rPr>
            </w:pPr>
            <w:r>
              <w:rPr>
                <w:rFonts w:hint="eastAsia"/>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rPr>
        <w:t>四、政府信息公开行政复议、行政诉讼情况</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beforeLines="0" w:afterLines="0" w:afterAutospacing="0" w:line="580" w:lineRule="exact"/>
              <w:jc w:val="center"/>
            </w:pPr>
            <w:r>
              <w:rPr>
                <w:rFonts w:hint="eastAsia"/>
                <w:color w:val="333333"/>
                <w:sz w:val="20"/>
                <w:szCs w:val="20"/>
              </w:rPr>
              <w:t>结果维持</w:t>
            </w:r>
          </w:p>
        </w:tc>
        <w:tc>
          <w:tcPr>
            <w:tcW w:w="604" w:type="dxa"/>
            <w:vMerge w:val="restart"/>
            <w:tcBorders>
              <w:top w:val="nil"/>
              <w:left w:val="nil"/>
              <w:bottom w:val="single" w:color="auto" w:sz="4" w:space="0"/>
              <w:right w:val="single" w:color="auto" w:sz="4" w:space="0"/>
            </w:tcBorders>
            <w:shd w:val="clear" w:color="auto" w:fill="auto"/>
            <w:noWrap w:val="0"/>
            <w:vAlign w:val="center"/>
          </w:tcPr>
          <w:p>
            <w:pPr>
              <w:widowControl/>
              <w:spacing w:beforeLines="0" w:afterLines="0" w:afterAutospacing="0" w:line="580" w:lineRule="exact"/>
              <w:jc w:val="center"/>
            </w:pPr>
            <w:r>
              <w:rPr>
                <w:rFonts w:hint="eastAsia"/>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afterAutospacing="0" w:line="580" w:lineRule="exact"/>
              <w:jc w:val="center"/>
            </w:pPr>
            <w:r>
              <w:rPr>
                <w:rFonts w:hint="eastAsia"/>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afterAutospacing="0" w:line="580" w:lineRule="exact"/>
              <w:jc w:val="center"/>
            </w:pPr>
            <w:r>
              <w:rPr>
                <w:rFonts w:hint="eastAsia"/>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afterAutospacing="0" w:line="580" w:lineRule="exact"/>
              <w:jc w:val="center"/>
            </w:pPr>
            <w:r>
              <w:rPr>
                <w:rFonts w:hint="eastAsia"/>
                <w:color w:val="333333"/>
                <w:sz w:val="20"/>
                <w:szCs w:val="20"/>
              </w:rPr>
              <w:t>总计</w:t>
            </w:r>
          </w:p>
        </w:tc>
        <w:tc>
          <w:tcPr>
            <w:tcW w:w="2970" w:type="dxa"/>
            <w:gridSpan w:val="5"/>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C7DAF1"/>
            <w:noWrap w:val="0"/>
            <w:vAlign w:val="center"/>
          </w:tcPr>
          <w:p>
            <w:pPr>
              <w:widowControl/>
              <w:spacing w:beforeLines="0" w:afterLines="0" w:afterAutospacing="0" w:line="580" w:lineRule="exact"/>
              <w:jc w:val="center"/>
            </w:pPr>
            <w:r>
              <w:rPr>
                <w:rFonts w:hint="eastAsia"/>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604" w:type="dxa"/>
            <w:vMerge w:val="continue"/>
            <w:tcBorders>
              <w:top w:val="nil"/>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604" w:type="dxa"/>
            <w:vMerge w:val="continue"/>
            <w:tcBorders>
              <w:top w:val="single" w:color="auto" w:sz="4" w:space="0"/>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604" w:type="dxa"/>
            <w:vMerge w:val="continue"/>
            <w:tcBorders>
              <w:top w:val="single" w:color="auto" w:sz="4" w:space="0"/>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658" w:type="dxa"/>
            <w:vMerge w:val="continue"/>
            <w:tcBorders>
              <w:top w:val="single" w:color="auto" w:sz="4" w:space="0"/>
              <w:left w:val="nil"/>
              <w:bottom w:val="single" w:color="auto" w:sz="4" w:space="0"/>
              <w:right w:val="single" w:color="auto" w:sz="4" w:space="0"/>
            </w:tcBorders>
            <w:noWrap w:val="0"/>
            <w:vAlign w:val="center"/>
          </w:tcPr>
          <w:p>
            <w:pPr>
              <w:spacing w:beforeLines="0" w:afterLines="0" w:line="580" w:lineRule="exact"/>
              <w:jc w:val="left"/>
              <w:rPr>
                <w:rFonts w:hint="eastAsia" w:ascii="宋体" w:hAnsi="宋体" w:cs="宋体"/>
                <w:color w:val="333333"/>
                <w:szCs w:val="21"/>
              </w:rPr>
            </w:pPr>
          </w:p>
        </w:tc>
        <w:tc>
          <w:tcPr>
            <w:tcW w:w="55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color w:val="333333"/>
                <w:sz w:val="20"/>
                <w:szCs w:val="20"/>
              </w:rPr>
              <w:t>结果维持</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color w:val="333333"/>
                <w:sz w:val="20"/>
                <w:szCs w:val="20"/>
              </w:rPr>
              <w:t>结果纠正</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color w:val="333333"/>
                <w:sz w:val="20"/>
                <w:szCs w:val="20"/>
              </w:rPr>
              <w:t>其他结果</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color w:val="333333"/>
                <w:sz w:val="20"/>
                <w:szCs w:val="20"/>
              </w:rPr>
              <w:t>尚未审结</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color w:val="333333"/>
                <w:sz w:val="20"/>
                <w:szCs w:val="20"/>
              </w:rPr>
              <w:t>结果维持</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color w:val="333333"/>
                <w:sz w:val="20"/>
                <w:szCs w:val="20"/>
              </w:rPr>
              <w:t>结果纠正</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color w:val="333333"/>
                <w:sz w:val="20"/>
                <w:szCs w:val="20"/>
              </w:rPr>
              <w:t>尚未审结</w:t>
            </w:r>
          </w:p>
        </w:tc>
        <w:tc>
          <w:tcPr>
            <w:tcW w:w="60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afterAutospacing="0" w:line="580" w:lineRule="exact"/>
              <w:jc w:val="center"/>
              <w:rPr>
                <w:rFonts w:hint="default"/>
                <w:color w:val="auto"/>
                <w:lang w:val="en-US" w:eastAsia="zh-CN"/>
              </w:rPr>
            </w:pPr>
            <w:r>
              <w:rPr>
                <w:rFonts w:hint="eastAsia"/>
                <w:color w:val="auto"/>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color w:val="auto"/>
                <w:lang w:val="en-US" w:eastAsia="zh-CN"/>
              </w:rPr>
            </w:pPr>
            <w:r>
              <w:rPr>
                <w:rFonts w:hint="eastAsia"/>
                <w:color w:val="auto"/>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color w:val="auto"/>
                <w:lang w:val="en-US" w:eastAsia="zh-CN"/>
              </w:rPr>
            </w:pPr>
            <w:r>
              <w:rPr>
                <w:rFonts w:hint="eastAsia"/>
                <w:color w:val="auto"/>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color w:val="auto"/>
                <w:lang w:val="en-US" w:eastAsia="zh-CN"/>
              </w:rPr>
            </w:pPr>
            <w:r>
              <w:rPr>
                <w:rFonts w:hint="eastAsia"/>
                <w:color w:val="auto"/>
                <w:lang w:val="en-US" w:eastAsia="zh-CN"/>
              </w:rPr>
              <w:t>0</w:t>
            </w:r>
          </w:p>
        </w:tc>
        <w:tc>
          <w:tcPr>
            <w:tcW w:w="658"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color w:val="auto"/>
                <w:lang w:val="en-US" w:eastAsia="zh-CN"/>
              </w:rPr>
            </w:pPr>
            <w:r>
              <w:rPr>
                <w:rFonts w:hint="eastAsia"/>
                <w:color w:val="auto"/>
                <w:lang w:val="en-US" w:eastAsia="zh-CN"/>
              </w:rPr>
              <w:t>0</w:t>
            </w:r>
          </w:p>
        </w:tc>
        <w:tc>
          <w:tcPr>
            <w:tcW w:w="550"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color w:val="auto"/>
                <w:lang w:val="en-US" w:eastAsia="zh-CN"/>
              </w:rPr>
            </w:pPr>
            <w:r>
              <w:rPr>
                <w:rFonts w:hint="eastAsia"/>
                <w:color w:val="auto"/>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color w:val="auto"/>
                <w:lang w:val="en-US" w:eastAsia="zh-CN"/>
              </w:rPr>
            </w:pPr>
            <w:r>
              <w:rPr>
                <w:rFonts w:hint="eastAsia"/>
                <w:color w:val="auto"/>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color w:val="auto"/>
                <w:lang w:val="en-US" w:eastAsia="zh-CN"/>
              </w:rPr>
            </w:pPr>
            <w:r>
              <w:rPr>
                <w:rFonts w:hint="eastAsia"/>
                <w:color w:val="auto"/>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color w:val="auto"/>
                <w:lang w:val="en-US" w:eastAsia="zh-CN"/>
              </w:rPr>
            </w:pPr>
            <w:r>
              <w:rPr>
                <w:rFonts w:hint="eastAsia"/>
                <w:color w:val="auto"/>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color w:val="auto"/>
                <w:lang w:val="en-US" w:eastAsia="zh-CN"/>
              </w:rPr>
            </w:pPr>
            <w:r>
              <w:rPr>
                <w:rFonts w:hint="eastAsia"/>
                <w:color w:val="auto"/>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color w:val="auto"/>
                <w:lang w:val="en-US" w:eastAsia="zh-CN"/>
              </w:rPr>
            </w:pPr>
            <w:r>
              <w:rPr>
                <w:rFonts w:hint="eastAsia"/>
                <w:color w:val="auto"/>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color w:val="auto"/>
                <w:lang w:val="en-US" w:eastAsia="zh-CN"/>
              </w:rPr>
            </w:pPr>
            <w:r>
              <w:rPr>
                <w:rFonts w:hint="eastAsia"/>
                <w:color w:val="auto"/>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eastAsia"/>
                <w:color w:val="auto"/>
                <w:lang w:val="en-US" w:eastAsia="zh-CN"/>
              </w:rPr>
            </w:pPr>
            <w:r>
              <w:rPr>
                <w:rFonts w:hint="eastAsia"/>
                <w:color w:val="auto"/>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color w:val="auto"/>
                <w:lang w:val="en-US" w:eastAsia="zh-CN"/>
              </w:rPr>
            </w:pPr>
            <w:r>
              <w:rPr>
                <w:rFonts w:hint="eastAsia"/>
                <w:color w:val="auto"/>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widowControl/>
              <w:spacing w:beforeLines="0" w:afterLines="0" w:afterAutospacing="0" w:line="580" w:lineRule="exact"/>
              <w:jc w:val="center"/>
              <w:rPr>
                <w:rFonts w:hint="default"/>
                <w:color w:val="auto"/>
                <w:lang w:val="en-US" w:eastAsia="zh-CN"/>
              </w:rPr>
            </w:pPr>
            <w:r>
              <w:rPr>
                <w:rFonts w:hint="eastAsia"/>
                <w:color w:val="auto"/>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五、</w:t>
      </w:r>
      <w:r>
        <w:rPr>
          <w:rFonts w:hint="eastAsia" w:ascii="黑体" w:hAnsi="黑体" w:eastAsia="黑体" w:cs="黑体"/>
          <w:b w:val="0"/>
          <w:bCs w:val="0"/>
          <w:color w:val="000000"/>
          <w:kern w:val="0"/>
          <w:sz w:val="32"/>
          <w:szCs w:val="32"/>
        </w:rPr>
        <w:t>存在的主要问题及改进情况</w:t>
      </w:r>
    </w:p>
    <w:p>
      <w:pPr>
        <w:keepNext w:val="0"/>
        <w:keepLines w:val="0"/>
        <w:pageBreakBefore w:val="0"/>
        <w:numPr>
          <w:ilvl w:val="0"/>
          <w:numId w:val="0"/>
        </w:numPr>
        <w:kinsoku/>
        <w:wordWrap/>
        <w:overflowPunct/>
        <w:topLinePunct w:val="0"/>
        <w:autoSpaceDE/>
        <w:autoSpaceDN/>
        <w:bidi w:val="0"/>
        <w:adjustRightInd/>
        <w:snapToGrid/>
        <w:spacing w:line="576" w:lineRule="exact"/>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楷体" w:cs="Times New Roman"/>
          <w:color w:val="auto"/>
          <w:kern w:val="0"/>
          <w:sz w:val="32"/>
          <w:szCs w:val="32"/>
        </w:rPr>
        <w:t>存在的主要问题：</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1、</w:t>
      </w:r>
      <w:r>
        <w:rPr>
          <w:rFonts w:hint="default" w:ascii="Times New Roman" w:hAnsi="Times New Roman" w:eastAsia="仿宋_GB2312" w:cs="Times New Roman"/>
          <w:color w:val="auto"/>
          <w:kern w:val="0"/>
          <w:sz w:val="32"/>
          <w:szCs w:val="32"/>
          <w:lang w:val="en-US" w:eastAsia="zh-CN"/>
        </w:rPr>
        <w:t>政府信息公开栏有些信息更新不够及时。</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政府信息公开的深度和广度还不够。</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对政府信息公开的宣传力度不够。</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改进措施：</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一是强化学习</w:t>
      </w:r>
      <w:r>
        <w:rPr>
          <w:rFonts w:hint="eastAsia"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color w:val="auto"/>
          <w:kern w:val="0"/>
          <w:sz w:val="32"/>
          <w:szCs w:val="32"/>
        </w:rPr>
        <w:t>进一步加强对《中华人民共和国政府信息公开条例》的学习。对照</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条例</w:t>
      </w:r>
      <w:r>
        <w:rPr>
          <w:rFonts w:hint="eastAsia" w:ascii="Times New Roman" w:hAnsi="Times New Roman" w:eastAsia="仿宋_GB2312" w:cs="Times New Roman"/>
          <w:color w:val="auto"/>
          <w:kern w:val="0"/>
          <w:sz w:val="32"/>
          <w:szCs w:val="32"/>
          <w:lang w:eastAsia="zh-CN"/>
        </w:rPr>
        <w:t>》规定和有关要求</w:t>
      </w:r>
      <w:r>
        <w:rPr>
          <w:rFonts w:hint="default" w:ascii="Times New Roman" w:hAnsi="Times New Roman" w:eastAsia="仿宋_GB2312" w:cs="Times New Roman"/>
          <w:color w:val="auto"/>
          <w:kern w:val="0"/>
          <w:sz w:val="32"/>
          <w:szCs w:val="32"/>
        </w:rPr>
        <w:t>，认真</w:t>
      </w:r>
      <w:r>
        <w:rPr>
          <w:rFonts w:hint="eastAsia" w:ascii="Times New Roman" w:hAnsi="Times New Roman" w:eastAsia="仿宋_GB2312" w:cs="Times New Roman"/>
          <w:color w:val="auto"/>
          <w:kern w:val="0"/>
          <w:sz w:val="32"/>
          <w:szCs w:val="32"/>
          <w:lang w:eastAsia="zh-CN"/>
        </w:rPr>
        <w:t>梳理</w:t>
      </w:r>
      <w:r>
        <w:rPr>
          <w:rFonts w:hint="default" w:ascii="Times New Roman" w:hAnsi="Times New Roman" w:eastAsia="仿宋_GB2312" w:cs="Times New Roman"/>
          <w:color w:val="auto"/>
          <w:kern w:val="0"/>
          <w:sz w:val="32"/>
          <w:szCs w:val="32"/>
        </w:rPr>
        <w:t>我局政府信息公开事项，查漏补缺，编制更加科学规范的公开目录。对公开的形式、内容、时限、程序、监督和运行机制等进一步规范，健全完善政务公开工作制度，强化政务公开的规范运作，全面提升政务公开的档次和水平。</w:t>
      </w:r>
      <w:r>
        <w:rPr>
          <w:rFonts w:hint="default" w:ascii="Times New Roman" w:hAnsi="Times New Roman" w:eastAsia="仿宋_GB2312" w:cs="Times New Roman"/>
          <w:color w:val="auto"/>
          <w:kern w:val="0"/>
          <w:sz w:val="32"/>
          <w:szCs w:val="32"/>
          <w:lang w:eastAsia="zh-CN"/>
        </w:rPr>
        <w:t>同时严把质量关、保密审查关，依据有关法律、法规严格审核公开内容，确保政府信息公开不影响国家安全、公共安全、经济安全和社会稳定，真正体现公开、公平、公正。</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二</w:t>
      </w:r>
      <w:r>
        <w:rPr>
          <w:rFonts w:hint="default" w:ascii="Times New Roman" w:hAnsi="Times New Roman" w:eastAsia="仿宋_GB2312" w:cs="Times New Roman"/>
          <w:b/>
          <w:bCs/>
          <w:color w:val="auto"/>
          <w:kern w:val="0"/>
          <w:sz w:val="32"/>
          <w:szCs w:val="32"/>
          <w:lang w:val="en-US" w:eastAsia="zh-CN"/>
        </w:rPr>
        <w:t>是</w:t>
      </w:r>
      <w:r>
        <w:rPr>
          <w:rFonts w:hint="eastAsia" w:ascii="Times New Roman" w:hAnsi="Times New Roman" w:eastAsia="仿宋_GB2312" w:cs="Times New Roman"/>
          <w:b/>
          <w:bCs/>
          <w:color w:val="auto"/>
          <w:kern w:val="0"/>
          <w:sz w:val="32"/>
          <w:szCs w:val="32"/>
          <w:lang w:val="en-US" w:eastAsia="zh-CN"/>
        </w:rPr>
        <w:t>提升素质</w:t>
      </w:r>
      <w:r>
        <w:rPr>
          <w:rFonts w:hint="default" w:ascii="Times New Roman" w:hAnsi="Times New Roman" w:eastAsia="仿宋_GB2312" w:cs="Times New Roman"/>
          <w:b/>
          <w:bCs/>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加强对</w:t>
      </w:r>
      <w:r>
        <w:rPr>
          <w:rFonts w:hint="default" w:ascii="Times New Roman" w:hAnsi="Times New Roman" w:eastAsia="仿宋_GB2312" w:cs="Times New Roman"/>
          <w:color w:val="auto"/>
          <w:kern w:val="0"/>
          <w:sz w:val="32"/>
          <w:szCs w:val="32"/>
          <w:lang w:val="en-US" w:eastAsia="zh-CN"/>
        </w:rPr>
        <w:t>政务信息公开业务人员</w:t>
      </w:r>
      <w:r>
        <w:rPr>
          <w:rFonts w:hint="eastAsia" w:ascii="Times New Roman" w:hAnsi="Times New Roman" w:eastAsia="仿宋_GB2312" w:cs="Times New Roman"/>
          <w:color w:val="auto"/>
          <w:kern w:val="0"/>
          <w:sz w:val="32"/>
          <w:szCs w:val="32"/>
          <w:lang w:val="en-US" w:eastAsia="zh-CN"/>
        </w:rPr>
        <w:t>的业务培训，</w:t>
      </w:r>
      <w:r>
        <w:rPr>
          <w:rFonts w:hint="default" w:ascii="Times New Roman" w:hAnsi="Times New Roman" w:eastAsia="仿宋_GB2312" w:cs="Times New Roman"/>
          <w:color w:val="auto"/>
          <w:kern w:val="0"/>
          <w:sz w:val="32"/>
          <w:szCs w:val="32"/>
          <w:lang w:eastAsia="zh-CN"/>
        </w:rPr>
        <w:t>增强工作人员政务公开意识，提高政府信息采集、编辑能力，努力提高政府信息公开水平。</w:t>
      </w:r>
      <w:r>
        <w:rPr>
          <w:rFonts w:hint="eastAsia" w:ascii="Times New Roman" w:hAnsi="Times New Roman" w:eastAsia="仿宋_GB2312" w:cs="Times New Roman"/>
          <w:color w:val="auto"/>
          <w:kern w:val="0"/>
          <w:sz w:val="32"/>
          <w:szCs w:val="32"/>
          <w:lang w:eastAsia="zh-CN"/>
        </w:rPr>
        <w:t>组织业务人员</w:t>
      </w:r>
      <w:r>
        <w:rPr>
          <w:rFonts w:hint="default" w:ascii="Times New Roman" w:hAnsi="Times New Roman" w:eastAsia="仿宋_GB2312" w:cs="Times New Roman"/>
          <w:color w:val="auto"/>
          <w:kern w:val="0"/>
          <w:sz w:val="32"/>
          <w:szCs w:val="32"/>
          <w:lang w:val="en-US" w:eastAsia="zh-CN"/>
        </w:rPr>
        <w:t xml:space="preserve">到政务信息工作先进单位交流学习，汲取先进的工作方法和经验。参加政务公开专题培训等，提高业务水平。 </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textAlignment w:val="auto"/>
        <w:outlineLvl w:val="9"/>
        <w:rPr>
          <w:rFonts w:hint="eastAsia"/>
        </w:rPr>
      </w:pPr>
      <w:r>
        <w:rPr>
          <w:rFonts w:hint="eastAsia" w:ascii="Times New Roman" w:hAnsi="Times New Roman" w:eastAsia="仿宋_GB2312" w:cs="Times New Roman"/>
          <w:b/>
          <w:bCs/>
          <w:color w:val="auto"/>
          <w:kern w:val="0"/>
          <w:sz w:val="32"/>
          <w:szCs w:val="32"/>
          <w:lang w:val="en-US" w:eastAsia="zh-CN"/>
        </w:rPr>
        <w:t>三</w:t>
      </w:r>
      <w:r>
        <w:rPr>
          <w:rFonts w:hint="default" w:ascii="Times New Roman" w:hAnsi="Times New Roman" w:eastAsia="仿宋_GB2312" w:cs="Times New Roman"/>
          <w:b/>
          <w:bCs/>
          <w:color w:val="auto"/>
          <w:kern w:val="0"/>
          <w:sz w:val="32"/>
          <w:szCs w:val="32"/>
          <w:lang w:val="en-US" w:eastAsia="zh-CN"/>
        </w:rPr>
        <w:t>是</w:t>
      </w:r>
      <w:r>
        <w:rPr>
          <w:rFonts w:hint="default" w:ascii="Times New Roman" w:hAnsi="Times New Roman" w:eastAsia="仿宋_GB2312" w:cs="Times New Roman"/>
          <w:b/>
          <w:bCs/>
          <w:color w:val="auto"/>
          <w:kern w:val="0"/>
          <w:sz w:val="32"/>
          <w:szCs w:val="32"/>
        </w:rPr>
        <w:t>加强考核。</w:t>
      </w:r>
      <w:r>
        <w:rPr>
          <w:rFonts w:hint="default" w:ascii="Times New Roman" w:hAnsi="Times New Roman" w:eastAsia="仿宋_GB2312" w:cs="Times New Roman"/>
          <w:color w:val="auto"/>
          <w:kern w:val="0"/>
          <w:sz w:val="32"/>
          <w:szCs w:val="32"/>
        </w:rPr>
        <w:t>进一步加强对政府信息公开工作的考核，积极运用考核结果。使政府信息公开工作成效明显的、重视政府信息公开工作程度高的同志有舞台、有地位，</w:t>
      </w:r>
      <w:r>
        <w:rPr>
          <w:rFonts w:hint="default" w:ascii="Times New Roman" w:hAnsi="Times New Roman" w:eastAsia="仿宋_GB2312" w:cs="Times New Roman"/>
          <w:color w:val="auto"/>
          <w:kern w:val="0"/>
          <w:sz w:val="32"/>
          <w:szCs w:val="32"/>
          <w:lang w:eastAsia="zh-CN"/>
        </w:rPr>
        <w:t>激发信息公开工作热情</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不断把我局政府信息公开工作引向深入</w:t>
      </w:r>
      <w:r>
        <w:rPr>
          <w:rFonts w:hint="default" w:ascii="Times New Roman" w:hAnsi="Times New Roman" w:eastAsia="仿宋_GB2312" w:cs="Times New Roman"/>
          <w:color w:val="auto"/>
          <w:kern w:val="0"/>
          <w:sz w:val="32"/>
          <w:szCs w:val="32"/>
          <w:lang w:eastAsia="zh-CN"/>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roma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fldChar w:fldCharType="begin"/>
                          </w:r>
                          <w:r>
                            <w:rPr>
                              <w:rFonts w:hint="eastAsia" w:asciiTheme="majorEastAsia" w:hAnsiTheme="majorEastAsia" w:eastAsiaTheme="majorEastAsia" w:cstheme="majorEastAsia"/>
                              <w:b/>
                              <w:bCs/>
                              <w:sz w:val="28"/>
                              <w:szCs w:val="28"/>
                              <w:lang w:eastAsia="zh-CN"/>
                            </w:rPr>
                            <w:instrText xml:space="preserve"> PAGE  \* MERGEFORMAT </w:instrText>
                          </w:r>
                          <w:r>
                            <w:rPr>
                              <w:rFonts w:hint="eastAsia" w:asciiTheme="majorEastAsia" w:hAnsiTheme="majorEastAsia" w:eastAsiaTheme="majorEastAsia" w:cstheme="majorEastAsia"/>
                              <w:b/>
                              <w:bCs/>
                              <w:sz w:val="28"/>
                              <w:szCs w:val="28"/>
                              <w:lang w:eastAsia="zh-CN"/>
                            </w:rPr>
                            <w:fldChar w:fldCharType="separate"/>
                          </w:r>
                          <w:r>
                            <w:rPr>
                              <w:rFonts w:hint="eastAsia" w:asciiTheme="majorEastAsia" w:hAnsiTheme="majorEastAsia" w:eastAsiaTheme="majorEastAsia" w:cstheme="majorEastAsia"/>
                              <w:b/>
                              <w:bCs/>
                              <w:sz w:val="28"/>
                              <w:szCs w:val="28"/>
                              <w:lang w:eastAsia="zh-CN"/>
                            </w:rPr>
                            <w:t>1</w:t>
                          </w:r>
                          <w:r>
                            <w:rPr>
                              <w:rFonts w:hint="eastAsia" w:asciiTheme="majorEastAsia" w:hAnsiTheme="majorEastAsia" w:eastAsiaTheme="majorEastAsia" w:cstheme="majorEastAsia"/>
                              <w:b/>
                              <w:bCs/>
                              <w:sz w:val="28"/>
                              <w:szCs w:val="28"/>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fldChar w:fldCharType="begin"/>
                    </w:r>
                    <w:r>
                      <w:rPr>
                        <w:rFonts w:hint="eastAsia" w:asciiTheme="majorEastAsia" w:hAnsiTheme="majorEastAsia" w:eastAsiaTheme="majorEastAsia" w:cstheme="majorEastAsia"/>
                        <w:b/>
                        <w:bCs/>
                        <w:sz w:val="28"/>
                        <w:szCs w:val="28"/>
                        <w:lang w:eastAsia="zh-CN"/>
                      </w:rPr>
                      <w:instrText xml:space="preserve"> PAGE  \* MERGEFORMAT </w:instrText>
                    </w:r>
                    <w:r>
                      <w:rPr>
                        <w:rFonts w:hint="eastAsia" w:asciiTheme="majorEastAsia" w:hAnsiTheme="majorEastAsia" w:eastAsiaTheme="majorEastAsia" w:cstheme="majorEastAsia"/>
                        <w:b/>
                        <w:bCs/>
                        <w:sz w:val="28"/>
                        <w:szCs w:val="28"/>
                        <w:lang w:eastAsia="zh-CN"/>
                      </w:rPr>
                      <w:fldChar w:fldCharType="separate"/>
                    </w:r>
                    <w:r>
                      <w:rPr>
                        <w:rFonts w:hint="eastAsia" w:asciiTheme="majorEastAsia" w:hAnsiTheme="majorEastAsia" w:eastAsiaTheme="majorEastAsia" w:cstheme="majorEastAsia"/>
                        <w:b/>
                        <w:bCs/>
                        <w:sz w:val="28"/>
                        <w:szCs w:val="28"/>
                        <w:lang w:eastAsia="zh-CN"/>
                      </w:rPr>
                      <w:t>1</w:t>
                    </w:r>
                    <w:r>
                      <w:rPr>
                        <w:rFonts w:hint="eastAsia" w:asciiTheme="majorEastAsia" w:hAnsiTheme="majorEastAsia" w:eastAsiaTheme="majorEastAsia" w:cstheme="majorEastAsia"/>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MGY1MzVhNWNhM2E0MDQyOTdiYTVmNzhjNTE3NWEifQ=="/>
  </w:docVars>
  <w:rsids>
    <w:rsidRoot w:val="00A80AD8"/>
    <w:rsid w:val="002D62FD"/>
    <w:rsid w:val="003E01CD"/>
    <w:rsid w:val="00A80AD8"/>
    <w:rsid w:val="00ED10DD"/>
    <w:rsid w:val="02747D04"/>
    <w:rsid w:val="072F77E6"/>
    <w:rsid w:val="166832DA"/>
    <w:rsid w:val="1B001D2F"/>
    <w:rsid w:val="1B0B06ED"/>
    <w:rsid w:val="1E7C28AA"/>
    <w:rsid w:val="1F506296"/>
    <w:rsid w:val="2C156A05"/>
    <w:rsid w:val="2CFD194C"/>
    <w:rsid w:val="317950C9"/>
    <w:rsid w:val="358F4481"/>
    <w:rsid w:val="37BB791C"/>
    <w:rsid w:val="37F27DC2"/>
    <w:rsid w:val="419D4BD4"/>
    <w:rsid w:val="42D5637B"/>
    <w:rsid w:val="44A14469"/>
    <w:rsid w:val="4BD53270"/>
    <w:rsid w:val="4CE51A5F"/>
    <w:rsid w:val="54C55B73"/>
    <w:rsid w:val="595526E7"/>
    <w:rsid w:val="5AE526D1"/>
    <w:rsid w:val="5FCF70EC"/>
    <w:rsid w:val="6CEA15FF"/>
    <w:rsid w:val="6FFE0380"/>
    <w:rsid w:val="75F76620"/>
    <w:rsid w:val="75FA46B0"/>
    <w:rsid w:val="77EA12BC"/>
    <w:rsid w:val="78663A42"/>
    <w:rsid w:val="7B979C6C"/>
    <w:rsid w:val="7EBE12A9"/>
    <w:rsid w:val="ACDE1F68"/>
    <w:rsid w:val="B6FD57B3"/>
    <w:rsid w:val="DBFFB70C"/>
    <w:rsid w:val="DDDFD65D"/>
    <w:rsid w:val="E5F55553"/>
    <w:rsid w:val="F67F6852"/>
    <w:rsid w:val="FBECF154"/>
    <w:rsid w:val="FCDEB466"/>
    <w:rsid w:val="FF776BB3"/>
    <w:rsid w:val="FFBCBA43"/>
    <w:rsid w:val="FFCFB574"/>
    <w:rsid w:val="FFFF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character" w:customStyle="1" w:styleId="8">
    <w:name w:val="标题 1 Char"/>
    <w:basedOn w:val="7"/>
    <w:link w:val="2"/>
    <w:qFormat/>
    <w:uiPriority w:val="9"/>
    <w:rPr>
      <w:b/>
      <w:bCs/>
      <w:kern w:val="44"/>
      <w:sz w:val="44"/>
      <w:szCs w:val="44"/>
    </w:rPr>
  </w:style>
  <w:style w:type="character" w:customStyle="1" w:styleId="9">
    <w:name w:val="Subtle Emphasis"/>
    <w:basedOn w:val="7"/>
    <w:qFormat/>
    <w:uiPriority w:val="19"/>
    <w:rPr>
      <w:i/>
      <w:iCs/>
      <w:color w:val="7F7F7F" w:themeColor="text1" w:themeTint="7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2312</Words>
  <Characters>2358</Characters>
  <Lines>9</Lines>
  <Paragraphs>2</Paragraphs>
  <TotalTime>15</TotalTime>
  <ScaleCrop>false</ScaleCrop>
  <LinksUpToDate>false</LinksUpToDate>
  <CharactersWithSpaces>2365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2019-12-16T16:00:00Z</dcterms:created>
  <dc:creator>Administrator</dc:creator>
  <cp:lastModifiedBy>langchao</cp:lastModifiedBy>
  <cp:lastPrinted>2020-01-06T09:36:00Z</cp:lastPrinted>
  <dcterms:modified xsi:type="dcterms:W3CDTF">2024-06-12T11:27:10Z</dcterms:modified>
  <dc:title>政府信息公开工作年度报告格式模板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A05A176947FC4DF987B3A407CB7669C0</vt:lpwstr>
  </property>
</Properties>
</file>