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1：</w:t>
      </w:r>
    </w:p>
    <w:p>
      <w:pPr>
        <w:widowControl/>
        <w:spacing w:beforeLines="50" w:afterLines="50"/>
        <w:jc w:val="center"/>
        <w:rPr>
          <w:rFonts w:ascii="方正小标宋简体" w:hAnsi="仿宋" w:eastAsia="方正小标宋简体" w:cs="仿宋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仿宋"/>
          <w:color w:val="000000"/>
          <w:sz w:val="36"/>
          <w:szCs w:val="36"/>
        </w:rPr>
        <w:t>邯郸市本级城镇职工特殊病定点医疗机构名单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1、邯郸市中心医院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2、邯郸市第一医院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3、河北工程大学附属医院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4、冀中能源峰峰集团有限公司总医院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5、中国人民解放军第285医院（限尿毒症透析、恶性肿瘤放化疗、器官移植术后抗排斥药物治疗）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6、邯郸市第二医院（限尿毒症透析、恶性肿瘤放化疗）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7、邯郸矿业集团有限公司总医院（限尿毒症透析、恶性肿瘤放化疗）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8、邯郸钢铁集团职工医院（限尿毒症透析、恶性肿瘤放化疗）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9、邯郸市人民医院（仅限尿毒症透析）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10、中煤一公司岭北职工医院（仅限尿毒症透析）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11、邯郸明仁医院（仅限尿毒症透析）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A0333"/>
    <w:rsid w:val="18FA03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2018-04-03T01:25:00Z</dcterms:created>
  <dc:creator>闫美琳</dc:creator>
  <cp:lastModifiedBy>闫美琳</cp:lastModifiedBy>
  <dcterms:modified xsi:type="dcterms:W3CDTF">2018-04-03T01:26:02Z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