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horzAnchor="margin" w:tblpY="621"/>
        <w:tblW w:w="13740" w:type="dxa"/>
        <w:tblInd w:w="0"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0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397"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（全科医学专业）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397"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397" w:hRule="atLeast"/>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提供基本医疗服务</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高：平均每年不少于1500人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服务总量：       人，         平均每年：       人。</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高：平均每年不少于2000人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提供基本医疗和基本公共卫生服务</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基层副高：平均每年不少于2000人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主持和参加急症处置</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高：平均每年不少于30例</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处置总量：       例，         平均每年：       例。</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带教全科医师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高：平均每年不少于30人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高：平均每年不少于20人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带教下级医师和乡村医生</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基层副高：平均每年不少于5人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tbl>
      <w:tblPr>
        <w:tblStyle w:val="5"/>
        <w:tblW w:w="13740" w:type="dxa"/>
        <w:jc w:val="center"/>
        <w:tblInd w:w="0"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522" w:hRule="atLeast"/>
          <w:jc w:val="center"/>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bl>
    <w:p>
      <w:pPr>
        <w:shd w:val="solid" w:color="FFFFFF" w:fill="auto"/>
        <w:autoSpaceDN w:val="0"/>
        <w:spacing w:line="400" w:lineRule="exact"/>
        <w:jc w:val="center"/>
        <w:rPr>
          <w:rFonts w:hint="eastAsia" w:ascii="宋体" w:hAnsi="宋体"/>
          <w:sz w:val="24"/>
          <w:shd w:val="clear" w:color="auto" w:fill="FFFFFF"/>
        </w:rPr>
      </w:pPr>
    </w:p>
    <w:p>
      <w:pPr>
        <w:spacing w:line="400" w:lineRule="exact"/>
        <w:jc w:val="center"/>
        <w:rPr>
          <w:sz w:val="24"/>
          <w:shd w:val="clear" w:color="auto" w:fill="FFFFFF"/>
        </w:rPr>
      </w:pPr>
    </w:p>
    <w:tbl>
      <w:tblPr>
        <w:tblStyle w:val="5"/>
        <w:tblW w:w="13740" w:type="dxa"/>
        <w:jc w:val="center"/>
        <w:tblInd w:w="0"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522" w:hRule="atLeast"/>
          <w:jc w:val="center"/>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表2</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2" w:hRule="atLeast"/>
          <w:jc w:val="center"/>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397" w:hRule="atLeast"/>
          <w:jc w:val="center"/>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（内科专业）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397" w:hRule="atLeast"/>
          <w:jc w:val="center"/>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397" w:hRule="atLeast"/>
          <w:jc w:val="center"/>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高：平均每年不少于1000人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lang w:val="en-US" w:eastAsia="zh-CN"/>
              </w:rPr>
              <w:t xml:space="preserve"> </w:t>
            </w:r>
            <w:r>
              <w:rPr>
                <w:rFonts w:hint="eastAsia" w:ascii="宋体" w:hAnsi="宋体" w:cs="宋体"/>
                <w:kern w:val="0"/>
                <w:szCs w:val="21"/>
              </w:rPr>
              <w:t xml:space="preserve">诊治总量：     人，         </w:t>
            </w:r>
            <w:r>
              <w:rPr>
                <w:rFonts w:hint="eastAsia" w:ascii="宋体" w:hAnsi="宋体" w:cs="宋体"/>
                <w:kern w:val="0"/>
                <w:szCs w:val="21"/>
                <w:lang w:val="en-US" w:eastAsia="zh-CN"/>
              </w:rPr>
              <w:t xml:space="preserve">                                                 </w:t>
            </w:r>
            <w:r>
              <w:rPr>
                <w:rFonts w:hint="eastAsia" w:ascii="宋体" w:hAnsi="宋体" w:cs="宋体"/>
                <w:kern w:val="0"/>
                <w:szCs w:val="21"/>
              </w:rPr>
              <w:t>平均每年：     人。</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高：平均每年不少于800人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提供基本医疗服务</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基层副高：平均每年不少于1500人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主持和参加救治危重病人</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高：平均每年不少于25例</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lang w:val="en-US" w:eastAsia="zh-CN"/>
              </w:rPr>
              <w:t xml:space="preserve"> </w:t>
            </w:r>
            <w:r>
              <w:rPr>
                <w:rFonts w:hint="eastAsia" w:ascii="宋体" w:hAnsi="宋体" w:cs="宋体"/>
                <w:kern w:val="0"/>
                <w:szCs w:val="21"/>
              </w:rPr>
              <w:t xml:space="preserve">救治总量：     例，     </w:t>
            </w:r>
            <w:r>
              <w:rPr>
                <w:rFonts w:hint="eastAsia" w:ascii="宋体" w:hAnsi="宋体" w:cs="宋体"/>
                <w:kern w:val="0"/>
                <w:szCs w:val="21"/>
                <w:lang w:val="en-US" w:eastAsia="zh-CN"/>
              </w:rPr>
              <w:t xml:space="preserve"> </w:t>
            </w:r>
            <w:r>
              <w:rPr>
                <w:rFonts w:hint="eastAsia" w:ascii="宋体" w:hAnsi="宋体" w:cs="宋体"/>
                <w:kern w:val="0"/>
                <w:szCs w:val="21"/>
              </w:rPr>
              <w:t xml:space="preserve">    平均每年：     例。</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急症处置</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表3</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 w:val="24"/>
              </w:rPr>
            </w:pPr>
          </w:p>
        </w:tc>
      </w:tr>
    </w:tbl>
    <w:p>
      <w:pPr>
        <w:jc w:val="center"/>
      </w:pPr>
      <w:r>
        <w:br w:type="page"/>
      </w:r>
    </w:p>
    <w:tbl>
      <w:tblPr>
        <w:tblStyle w:val="5"/>
        <w:tblW w:w="13740" w:type="dxa"/>
        <w:jc w:val="center"/>
        <w:tblInd w:w="0"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439" w:hRule="atLeast"/>
          <w:jc w:val="center"/>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表3</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00" w:hRule="atLeast"/>
          <w:jc w:val="center"/>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340" w:hRule="atLeast"/>
          <w:jc w:val="center"/>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（外科专业）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340" w:hRule="atLeast"/>
          <w:jc w:val="center"/>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340" w:hRule="atLeast"/>
          <w:jc w:val="center"/>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高：平均每年不少于1000人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诊治总量：       人，         平均每年：       人。</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高：平均每年不少于800人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主持和参加急重症处置</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高：平均每年不少于25例</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处置总量：       例，         平均每年：       例。</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开展手术</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高：平均每年完成手术不少于100台(其中三级以上手术不少于50台)</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xml:space="preserve">手术总量：    </w:t>
            </w:r>
            <w:r>
              <w:rPr>
                <w:rFonts w:hint="eastAsia" w:ascii="宋体" w:hAnsi="宋体" w:cs="宋体"/>
                <w:kern w:val="0"/>
                <w:szCs w:val="21"/>
                <w:lang w:val="en-US" w:eastAsia="zh-CN"/>
              </w:rPr>
              <w:t xml:space="preserve">   </w:t>
            </w:r>
            <w:r>
              <w:rPr>
                <w:rFonts w:hint="eastAsia" w:ascii="宋体" w:hAnsi="宋体" w:cs="宋体"/>
                <w:kern w:val="0"/>
                <w:szCs w:val="21"/>
              </w:rPr>
              <w:t>台（其中三级手术</w:t>
            </w:r>
            <w:r>
              <w:rPr>
                <w:rFonts w:hint="eastAsia" w:ascii="宋体" w:hAnsi="宋体" w:cs="宋体"/>
                <w:kern w:val="0"/>
                <w:szCs w:val="21"/>
                <w:lang w:val="en-US" w:eastAsia="zh-CN"/>
              </w:rPr>
              <w:t xml:space="preserve">      </w:t>
            </w:r>
            <w:r>
              <w:rPr>
                <w:rFonts w:hint="eastAsia" w:ascii="宋体" w:hAnsi="宋体" w:cs="宋体"/>
                <w:kern w:val="0"/>
                <w:szCs w:val="21"/>
              </w:rPr>
              <w:t xml:space="preserve">台），                      </w:t>
            </w:r>
            <w:r>
              <w:rPr>
                <w:rFonts w:hint="eastAsia" w:ascii="宋体" w:hAnsi="宋体" w:cs="宋体"/>
                <w:kern w:val="0"/>
                <w:szCs w:val="21"/>
                <w:lang w:val="en-US" w:eastAsia="zh-CN"/>
              </w:rPr>
              <w:t xml:space="preserve">                      </w:t>
            </w:r>
            <w:r>
              <w:rPr>
                <w:rFonts w:hint="eastAsia" w:ascii="宋体" w:hAnsi="宋体" w:cs="宋体"/>
                <w:kern w:val="0"/>
                <w:szCs w:val="21"/>
              </w:rPr>
              <w:t>平均每年：       台（其中二级手术      台）。</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高：平均每年完成手术不少于100台（其中二级以上手术不少于30台）</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基层副高：未规定手术量标准</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spacing w:line="40" w:lineRule="exact"/>
        <w:jc w:val="center"/>
        <w:rPr>
          <w:rFonts w:ascii="宋体" w:hAnsi="宋体"/>
          <w:szCs w:val="21"/>
        </w:rPr>
      </w:pPr>
    </w:p>
    <w:p>
      <w:pPr>
        <w:jc w:val="center"/>
        <w:rPr>
          <w:rFonts w:ascii="宋体" w:hAnsi="宋体"/>
          <w:szCs w:val="21"/>
        </w:rPr>
      </w:pPr>
      <w:r>
        <w:rPr>
          <w:rFonts w:ascii="宋体" w:hAnsi="宋体"/>
          <w:szCs w:val="21"/>
        </w:rPr>
        <w:br w:type="page"/>
      </w:r>
    </w:p>
    <w:tbl>
      <w:tblPr>
        <w:tblStyle w:val="5"/>
        <w:tblW w:w="13740" w:type="dxa"/>
        <w:jc w:val="center"/>
        <w:tblInd w:w="0"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439" w:hRule="atLeast"/>
          <w:jc w:val="center"/>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表4</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00" w:hRule="atLeast"/>
          <w:jc w:val="center"/>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340" w:hRule="atLeast"/>
          <w:jc w:val="center"/>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（妇产科专业）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340" w:hRule="atLeast"/>
          <w:jc w:val="center"/>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340" w:hRule="atLeast"/>
          <w:jc w:val="center"/>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诊治总量：       人，         平均每年：       人。</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高：平均每年不少于300人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基层副高：平均每年不少于800人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主持和参加救治危重病人</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高：平均每年不少于25例</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救治总量：       例，         平均每年：       例。</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急症处置</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开展手术</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高：平均每年完成手术不少于100台(其中三级以上手术不少于50台)</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xml:space="preserve">手术总量：    </w:t>
            </w:r>
            <w:r>
              <w:rPr>
                <w:rFonts w:hint="eastAsia" w:ascii="宋体" w:hAnsi="宋体" w:cs="宋体"/>
                <w:kern w:val="0"/>
                <w:szCs w:val="21"/>
                <w:lang w:val="en-US" w:eastAsia="zh-CN"/>
              </w:rPr>
              <w:t xml:space="preserve">   </w:t>
            </w:r>
            <w:r>
              <w:rPr>
                <w:rFonts w:hint="eastAsia" w:ascii="宋体" w:hAnsi="宋体" w:cs="宋体"/>
                <w:kern w:val="0"/>
                <w:szCs w:val="21"/>
              </w:rPr>
              <w:t>台（其中三级手术       台），                      平均每年：       台（其中二级手术      台）。</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高：平均每年完成手术不少于100台（其中二级以上手术不少于30台）</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基层副高：未规定手术量标准</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40"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40"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spacing w:line="40" w:lineRule="exact"/>
        <w:jc w:val="center"/>
        <w:rPr>
          <w:rFonts w:ascii="宋体" w:hAnsi="宋体"/>
          <w:szCs w:val="21"/>
        </w:rPr>
      </w:pPr>
    </w:p>
    <w:p>
      <w:pPr>
        <w:jc w:val="center"/>
        <w:rPr>
          <w:rFonts w:ascii="宋体" w:hAnsi="宋体"/>
          <w:szCs w:val="21"/>
        </w:rPr>
      </w:pPr>
      <w:r>
        <w:rPr>
          <w:rFonts w:ascii="宋体" w:hAnsi="宋体"/>
          <w:szCs w:val="21"/>
        </w:rPr>
        <w:br w:type="page"/>
      </w:r>
    </w:p>
    <w:tbl>
      <w:tblPr>
        <w:tblStyle w:val="5"/>
        <w:tblW w:w="13740" w:type="dxa"/>
        <w:jc w:val="center"/>
        <w:tblInd w:w="0"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499" w:hRule="atLeast"/>
          <w:jc w:val="center"/>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表5</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00" w:hRule="atLeast"/>
          <w:jc w:val="center"/>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397" w:hRule="atLeast"/>
          <w:jc w:val="center"/>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（儿科专业）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397" w:hRule="atLeast"/>
          <w:jc w:val="center"/>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397" w:hRule="atLeast"/>
          <w:jc w:val="center"/>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高：平均每年不少于1000人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诊治总量：       人，         平均每年：       人。</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高：平均每年不少于800人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基层副高：平均每年不少于800人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主持和参加救治危重病人</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高：平均每年不少于25例</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救治总量：       例，         平均每年：       例。</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急症处置</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jc w:val="center"/>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jc w:val="center"/>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rPr>
          <w:rFonts w:hint="eastAsia" w:ascii="宋体" w:hAnsi="宋体"/>
          <w:szCs w:val="21"/>
        </w:rPr>
      </w:pPr>
    </w:p>
    <w:p>
      <w:pPr>
        <w:jc w:val="center"/>
        <w:rPr>
          <w:rFonts w:ascii="宋体" w:hAnsi="宋体"/>
          <w:szCs w:val="21"/>
        </w:rPr>
      </w:pPr>
      <w:r>
        <w:rPr>
          <w:rFonts w:ascii="宋体" w:hAnsi="宋体"/>
          <w:szCs w:val="21"/>
        </w:rP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522"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表6</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522"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397"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（口腔专业、基层五官科专业）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397"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397" w:hRule="atLeast"/>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高：平均每年不少于1000人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诊治总量：       人，         平均每年：       人。</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高：平均每年不少于800人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基层副高：平均每年不少于800人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开展手术</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高：平均每年完成手术不少于200台(其中三级以上手术不少于60台)</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xml:space="preserve">手术总量：    </w:t>
            </w:r>
            <w:r>
              <w:rPr>
                <w:rFonts w:hint="eastAsia" w:ascii="宋体" w:hAnsi="宋体" w:cs="宋体"/>
                <w:kern w:val="0"/>
                <w:szCs w:val="21"/>
                <w:lang w:val="en-US" w:eastAsia="zh-CN"/>
              </w:rPr>
              <w:t xml:space="preserve">   </w:t>
            </w:r>
            <w:r>
              <w:rPr>
                <w:rFonts w:hint="eastAsia" w:ascii="宋体" w:hAnsi="宋体" w:cs="宋体"/>
                <w:kern w:val="0"/>
                <w:szCs w:val="21"/>
              </w:rPr>
              <w:t>台（其中三级手术       台），                      平均每年：       台（其中二级手术      台）。</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高：平均每年完成手术不少于150台（其中二级以上手术不少于50台）</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基层副高：未规定手术量标准</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397"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397"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rPr>
          <w:rFonts w:ascii="宋体" w:hAnsi="宋体"/>
          <w:szCs w:val="21"/>
        </w:rPr>
      </w:pPr>
    </w:p>
    <w:p>
      <w:pPr>
        <w:jc w:val="center"/>
        <w:rPr>
          <w:rFonts w:ascii="宋体" w:hAnsi="宋体"/>
          <w:szCs w:val="21"/>
        </w:rPr>
      </w:pPr>
      <w:r>
        <w:rPr>
          <w:rFonts w:ascii="宋体" w:hAnsi="宋体"/>
          <w:szCs w:val="21"/>
        </w:rP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702"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表7</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702"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67"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（眼科专业）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67"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67"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高：平均每年不少于800人</w:t>
            </w:r>
          </w:p>
        </w:tc>
        <w:tc>
          <w:tcPr>
            <w:tcW w:w="33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诊治总量：       人，         平均每年：       人。</w:t>
            </w:r>
          </w:p>
        </w:tc>
        <w:tc>
          <w:tcPr>
            <w:tcW w:w="34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高：平均每年不少于600人</w:t>
            </w:r>
          </w:p>
        </w:tc>
        <w:tc>
          <w:tcPr>
            <w:tcW w:w="330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开展手术</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高：平均每年完成手术不少于1500台(其中三级以上手术不少于40台)</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xml:space="preserve">手术总量：   </w:t>
            </w:r>
            <w:r>
              <w:rPr>
                <w:rFonts w:hint="eastAsia" w:ascii="宋体" w:hAnsi="宋体" w:cs="宋体"/>
                <w:kern w:val="0"/>
                <w:szCs w:val="21"/>
                <w:lang w:val="en-US" w:eastAsia="zh-CN"/>
              </w:rPr>
              <w:t xml:space="preserve">   </w:t>
            </w:r>
            <w:r>
              <w:rPr>
                <w:rFonts w:hint="eastAsia" w:ascii="宋体" w:hAnsi="宋体" w:cs="宋体"/>
                <w:kern w:val="0"/>
                <w:szCs w:val="21"/>
              </w:rPr>
              <w:t xml:space="preserve"> 台（其中三级手术       台），                      平均每年：       台（其中二级手术      台）。</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高：平均每年完成手术不少于100台（其中二级以上手术不少于30台）</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rPr>
          <w:rFonts w:ascii="宋体" w:hAnsi="宋体"/>
          <w:szCs w:val="21"/>
        </w:rPr>
      </w:pP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702"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表8</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702"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67"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（耳鼻喉专业）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67"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67"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高：平均每年不少于600人</w:t>
            </w:r>
          </w:p>
        </w:tc>
        <w:tc>
          <w:tcPr>
            <w:tcW w:w="33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诊治总量：       人，         平均每年：       人。</w:t>
            </w:r>
          </w:p>
        </w:tc>
        <w:tc>
          <w:tcPr>
            <w:tcW w:w="34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高：平均每年不少于400人</w:t>
            </w:r>
          </w:p>
        </w:tc>
        <w:tc>
          <w:tcPr>
            <w:tcW w:w="330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开展手术</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高：平均每年完成手术不少于1500台(其中三级以上手术不少于40台)</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 xml:space="preserve">手术总量：   </w:t>
            </w:r>
            <w:r>
              <w:rPr>
                <w:rFonts w:hint="eastAsia" w:ascii="宋体" w:hAnsi="宋体" w:cs="宋体"/>
                <w:kern w:val="0"/>
                <w:szCs w:val="21"/>
                <w:lang w:val="en-US" w:eastAsia="zh-CN"/>
              </w:rPr>
              <w:t xml:space="preserve">   </w:t>
            </w:r>
            <w:r>
              <w:rPr>
                <w:rFonts w:hint="eastAsia" w:ascii="宋体" w:hAnsi="宋体" w:cs="宋体"/>
                <w:kern w:val="0"/>
                <w:szCs w:val="21"/>
              </w:rPr>
              <w:t xml:space="preserve"> 台（其中三级手术       台），                      平均每年：       台（其中二级手术      台）。</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高：平均每年完成手术不少于100台（其中二级以上手术不少于30台）</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67"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67"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rPr>
          <w:rFonts w:ascii="宋体" w:hAnsi="宋体"/>
          <w:szCs w:val="21"/>
        </w:rPr>
      </w:pPr>
    </w:p>
    <w:p>
      <w:pPr>
        <w:jc w:val="center"/>
        <w:rPr>
          <w:rFonts w:ascii="宋体" w:hAnsi="宋体"/>
          <w:szCs w:val="21"/>
        </w:rPr>
      </w:pPr>
      <w:r>
        <w:rPr>
          <w:rFonts w:ascii="宋体" w:hAnsi="宋体"/>
          <w:szCs w:val="21"/>
        </w:rP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799"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表9</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799"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624"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（皮肤科专业）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624"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624"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624" w:hRule="atLeast"/>
        </w:trPr>
        <w:tc>
          <w:tcPr>
            <w:tcW w:w="29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高：平均每年不少于600人</w:t>
            </w:r>
          </w:p>
        </w:tc>
        <w:tc>
          <w:tcPr>
            <w:tcW w:w="33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诊治总量：       人，         平均每年：       人。</w:t>
            </w:r>
          </w:p>
        </w:tc>
        <w:tc>
          <w:tcPr>
            <w:tcW w:w="34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624" w:hRule="atLeast"/>
        </w:trPr>
        <w:tc>
          <w:tcPr>
            <w:tcW w:w="2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高：平均每年不少于400人</w:t>
            </w:r>
          </w:p>
        </w:tc>
        <w:tc>
          <w:tcPr>
            <w:tcW w:w="330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624"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624"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624"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624"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rPr>
          <w:rFonts w:ascii="宋体" w:hAnsi="宋体"/>
          <w:szCs w:val="21"/>
        </w:rPr>
      </w:pPr>
      <w:r>
        <w:rPr>
          <w:rFonts w:ascii="宋体" w:hAnsi="宋体"/>
          <w:szCs w:val="21"/>
        </w:rP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799"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表10</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799"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河北省卫生高级专业技术职务任职资格申报评审工作数量考核情况一览表</w:t>
            </w:r>
          </w:p>
        </w:tc>
      </w:tr>
      <w:tr>
        <w:tblPrEx>
          <w:tblLayout w:type="fixed"/>
          <w:tblCellMar>
            <w:top w:w="0" w:type="dxa"/>
            <w:left w:w="108" w:type="dxa"/>
            <w:bottom w:w="0" w:type="dxa"/>
            <w:right w:w="108" w:type="dxa"/>
          </w:tblCellMar>
        </w:tblPrEx>
        <w:trPr>
          <w:trHeight w:val="68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（病理科专业）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68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68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680" w:hRule="atLeast"/>
        </w:trPr>
        <w:tc>
          <w:tcPr>
            <w:tcW w:w="29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病理诊断</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高：平均每年不少于800人</w:t>
            </w:r>
          </w:p>
        </w:tc>
        <w:tc>
          <w:tcPr>
            <w:tcW w:w="330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诊断总量：       人，         平均每年：       人。</w:t>
            </w:r>
          </w:p>
        </w:tc>
        <w:tc>
          <w:tcPr>
            <w:tcW w:w="346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680" w:hRule="atLeast"/>
        </w:trPr>
        <w:tc>
          <w:tcPr>
            <w:tcW w:w="29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高：平均每年不少于500人</w:t>
            </w:r>
          </w:p>
        </w:tc>
        <w:tc>
          <w:tcPr>
            <w:tcW w:w="330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680"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680"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680"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680"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rPr>
          <w:rFonts w:hint="eastAsia" w:ascii="宋体" w:hAnsi="宋体"/>
          <w:szCs w:val="21"/>
        </w:rPr>
      </w:pP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表11</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（麻醉专业）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指导麻醉</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高：平均每年不少于300例</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实施总量：       例，         平均每年：       例。</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独立实施麻醉</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高：平均每年不少于300例</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基层副高：平均每年不少于100例</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rPr>
          <w:rFonts w:hint="eastAsia" w:ascii="宋体" w:hAnsi="宋体"/>
          <w:szCs w:val="21"/>
        </w:rPr>
      </w:pPr>
    </w:p>
    <w:p>
      <w:pPr>
        <w:spacing w:line="400" w:lineRule="exact"/>
        <w:jc w:val="center"/>
        <w:rPr>
          <w:rFonts w:hint="eastAsia" w:ascii="宋体" w:hAnsi="宋体"/>
          <w:sz w:val="24"/>
        </w:rPr>
      </w:pP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表12</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（医学影像专业）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影像诊断</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高：平均每年不少于800例</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诊断总量：       例，         平均每年：       例。</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高：平均每年不少于400例</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基层副高：平均每年不少于300例</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pPr>
    </w:p>
    <w:p>
      <w:pPr>
        <w:jc w:val="cente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表13</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（公共卫生系列）</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参加处置公共卫生事件、承担公共卫生项目、执行重要公共卫生任务</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高：平均每年不少于4项</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完成总量：    项（人次），         平均每年：    项（人次）。</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高：平均每年不少于2项</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为当地居民提供基本公共卫生服务</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基层副高：平均每年不少于5000人次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pPr>
    </w:p>
    <w:p>
      <w:pPr>
        <w:jc w:val="cente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表14</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（医学检验专业）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检验标本</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高：平均每年不少于500例</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检验总量：       例，         平均每年：       例。</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高：平均每年不少于1000例</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基层副高：平均每年不少于1000例</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pPr>
    </w:p>
    <w:p>
      <w:pPr>
        <w:jc w:val="cente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表15</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（药学专业）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参加临床用药讨论或指导患者用药</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高：平均每年不少于20次</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完成总量：    次（张），         平均每年：    次（张）。</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高：平均每年不少于10次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调剂处方</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基层副高：平均每年不少于3000张</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作学术报告或业务培训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pPr>
    </w:p>
    <w:p>
      <w:pPr>
        <w:jc w:val="cente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表16</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（护理专业）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主持和参加危重病人护理查房</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高：平均每年不少于15次</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完成总量：    次（人次），         平均每年：    次（人次）。</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高：平均每年不少于10次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直接护理病人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基层副高：平均每年不少于1000人次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开展健康选好和业务培训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pPr>
    </w:p>
    <w:p>
      <w:pPr>
        <w:jc w:val="cente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表17</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（其他医技专业）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为患者提供技术服务</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高：平均每年不少于500人次</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服务总量：      人次，         平均每年：      人次。</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高：平均每年不少于800人次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基层副高：平均每年不少于800人次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jc w:val="center"/>
      </w:pPr>
    </w:p>
    <w:p>
      <w:pPr>
        <w:jc w:val="cente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522"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表18</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522"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454"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（中医专业）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454"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454" w:hRule="atLeast"/>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诊治总量：    人（人次），         平均每年：    人（人次）。</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高：平均每年不少于300人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基层副高：平均每年不少于800人次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诊治疑难病例</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高：平均每年不少于100例</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诊治总量：       例，         平均每年：       例。</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高：平均每年不少于50例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spacing w:line="40" w:lineRule="exact"/>
        <w:jc w:val="center"/>
      </w:pPr>
    </w:p>
    <w:p>
      <w:pPr>
        <w:spacing w:line="40" w:lineRule="exact"/>
        <w:jc w:val="center"/>
        <w:rPr>
          <w:rFonts w:hint="eastAsia"/>
        </w:rP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522"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表19</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522"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454"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（中西医结合专业）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454"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454" w:hRule="atLeast"/>
        </w:trPr>
        <w:tc>
          <w:tcPr>
            <w:tcW w:w="294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诊治病人</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高：平均每年不少于400人</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诊治总量：    人（人次），         平均每年：    人（人次）。</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高：平均每年不少于300人</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基层副高：平均每年不少于800人次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诊治疑难病例</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高：平均每年不少于50例</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诊治总量：       例，         平均每年：       例。</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高：平均每年不少于30例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基层副高：平均每年不少于20例</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开展健康宣传和业务培训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454"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454"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spacing w:line="40" w:lineRule="exact"/>
        <w:jc w:val="center"/>
        <w:rPr>
          <w:rFonts w:hint="eastAsia"/>
        </w:rPr>
      </w:pPr>
    </w:p>
    <w:p>
      <w:pPr>
        <w:spacing w:line="40" w:lineRule="exact"/>
        <w:jc w:val="center"/>
        <w:rPr>
          <w:rFonts w:hint="eastAsia"/>
        </w:rPr>
      </w:pPr>
    </w:p>
    <w:p>
      <w:pPr>
        <w:spacing w:line="40" w:lineRule="exact"/>
        <w:jc w:val="center"/>
      </w:pPr>
      <w:r>
        <w:br w:type="page"/>
      </w:r>
    </w:p>
    <w:tbl>
      <w:tblPr>
        <w:tblStyle w:val="5"/>
        <w:tblW w:w="13740" w:type="dxa"/>
        <w:tblInd w:w="93" w:type="dxa"/>
        <w:tblLayout w:type="fixed"/>
        <w:tblCellMar>
          <w:top w:w="0" w:type="dxa"/>
          <w:left w:w="108" w:type="dxa"/>
          <w:bottom w:w="0" w:type="dxa"/>
          <w:right w:w="108" w:type="dxa"/>
        </w:tblCellMar>
      </w:tblPr>
      <w:tblGrid>
        <w:gridCol w:w="2940"/>
        <w:gridCol w:w="4040"/>
        <w:gridCol w:w="3300"/>
        <w:gridCol w:w="3460"/>
      </w:tblGrid>
      <w:tr>
        <w:tblPrEx>
          <w:tblLayout w:type="fixed"/>
          <w:tblCellMar>
            <w:top w:w="0" w:type="dxa"/>
            <w:left w:w="108" w:type="dxa"/>
            <w:bottom w:w="0" w:type="dxa"/>
            <w:right w:w="108" w:type="dxa"/>
          </w:tblCellMar>
        </w:tblPrEx>
        <w:trPr>
          <w:trHeight w:val="660" w:hRule="atLeast"/>
        </w:trPr>
        <w:tc>
          <w:tcPr>
            <w:tcW w:w="2940" w:type="dxa"/>
            <w:tcBorders>
              <w:top w:val="nil"/>
              <w:left w:val="nil"/>
              <w:bottom w:val="nil"/>
              <w:right w:val="nil"/>
            </w:tcBorders>
            <w:vAlign w:val="center"/>
          </w:tcPr>
          <w:p>
            <w:pPr>
              <w:widowControl/>
              <w:jc w:val="both"/>
              <w:rPr>
                <w:rFonts w:ascii="宋体" w:hAnsi="宋体" w:cs="宋体"/>
                <w:kern w:val="0"/>
                <w:sz w:val="24"/>
              </w:rPr>
            </w:pPr>
            <w:r>
              <w:rPr>
                <w:rFonts w:hint="eastAsia" w:ascii="宋体" w:hAnsi="宋体" w:cs="宋体"/>
                <w:kern w:val="0"/>
                <w:sz w:val="24"/>
              </w:rPr>
              <w:t>表20</w:t>
            </w:r>
          </w:p>
        </w:tc>
        <w:tc>
          <w:tcPr>
            <w:tcW w:w="4040" w:type="dxa"/>
            <w:tcBorders>
              <w:top w:val="nil"/>
              <w:left w:val="nil"/>
              <w:bottom w:val="nil"/>
              <w:right w:val="nil"/>
            </w:tcBorders>
            <w:vAlign w:val="center"/>
          </w:tcPr>
          <w:p>
            <w:pPr>
              <w:widowControl/>
              <w:jc w:val="center"/>
              <w:rPr>
                <w:rFonts w:ascii="宋体" w:hAnsi="宋体" w:cs="宋体"/>
                <w:kern w:val="0"/>
                <w:sz w:val="24"/>
              </w:rPr>
            </w:pPr>
          </w:p>
        </w:tc>
        <w:tc>
          <w:tcPr>
            <w:tcW w:w="3300" w:type="dxa"/>
            <w:tcBorders>
              <w:top w:val="nil"/>
              <w:left w:val="nil"/>
              <w:bottom w:val="nil"/>
              <w:right w:val="nil"/>
            </w:tcBorders>
            <w:vAlign w:val="center"/>
          </w:tcPr>
          <w:p>
            <w:pPr>
              <w:widowControl/>
              <w:jc w:val="center"/>
              <w:rPr>
                <w:rFonts w:ascii="宋体" w:hAnsi="宋体" w:cs="宋体"/>
                <w:kern w:val="0"/>
                <w:sz w:val="24"/>
              </w:rPr>
            </w:pPr>
          </w:p>
        </w:tc>
        <w:tc>
          <w:tcPr>
            <w:tcW w:w="3460" w:type="dxa"/>
            <w:tcBorders>
              <w:top w:val="nil"/>
              <w:left w:val="nil"/>
              <w:bottom w:val="nil"/>
              <w:right w:val="nil"/>
            </w:tcBorders>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660" w:hRule="atLeast"/>
        </w:trPr>
        <w:tc>
          <w:tcPr>
            <w:tcW w:w="13740" w:type="dxa"/>
            <w:gridSpan w:val="4"/>
            <w:tcBorders>
              <w:top w:val="nil"/>
              <w:left w:val="nil"/>
              <w:bottom w:val="nil"/>
              <w:right w:val="nil"/>
            </w:tcBorders>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河北省卫生系列高级专业技术职务任职资格申报评审工作数量考核情况一览表</w:t>
            </w:r>
          </w:p>
        </w:tc>
      </w:tr>
      <w:tr>
        <w:tblPrEx>
          <w:tblLayout w:type="fixed"/>
          <w:tblCellMar>
            <w:top w:w="0" w:type="dxa"/>
            <w:left w:w="108" w:type="dxa"/>
            <w:bottom w:w="0" w:type="dxa"/>
            <w:right w:w="108" w:type="dxa"/>
          </w:tblCellMar>
        </w:tblPrEx>
        <w:trPr>
          <w:trHeight w:val="510" w:hRule="atLeast"/>
        </w:trPr>
        <w:tc>
          <w:tcPr>
            <w:tcW w:w="2940" w:type="dxa"/>
            <w:tcBorders>
              <w:top w:val="nil"/>
              <w:left w:val="nil"/>
              <w:bottom w:val="nil"/>
              <w:right w:val="nil"/>
            </w:tcBorders>
            <w:vAlign w:val="center"/>
          </w:tcPr>
          <w:p>
            <w:pPr>
              <w:widowControl/>
              <w:jc w:val="center"/>
              <w:rPr>
                <w:rFonts w:ascii="宋体" w:hAnsi="宋体" w:cs="宋体"/>
                <w:b/>
                <w:bCs/>
                <w:kern w:val="0"/>
                <w:szCs w:val="21"/>
              </w:rPr>
            </w:pPr>
          </w:p>
        </w:tc>
        <w:tc>
          <w:tcPr>
            <w:tcW w:w="7340" w:type="dxa"/>
            <w:gridSpan w:val="2"/>
            <w:tcBorders>
              <w:top w:val="nil"/>
              <w:left w:val="nil"/>
              <w:bottom w:val="nil"/>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（中药专业）</w:t>
            </w:r>
          </w:p>
        </w:tc>
        <w:tc>
          <w:tcPr>
            <w:tcW w:w="3460" w:type="dxa"/>
            <w:tcBorders>
              <w:top w:val="nil"/>
              <w:left w:val="nil"/>
              <w:bottom w:val="nil"/>
              <w:right w:val="nil"/>
            </w:tcBorders>
            <w:vAlign w:val="center"/>
          </w:tcPr>
          <w:p>
            <w:pPr>
              <w:widowControl/>
              <w:jc w:val="center"/>
              <w:rPr>
                <w:rFonts w:ascii="宋体" w:hAnsi="宋体" w:cs="宋体"/>
                <w:b/>
                <w:bCs/>
                <w:kern w:val="0"/>
                <w:szCs w:val="21"/>
              </w:rPr>
            </w:pPr>
          </w:p>
        </w:tc>
      </w:tr>
      <w:tr>
        <w:tblPrEx>
          <w:tblLayout w:type="fixed"/>
          <w:tblCellMar>
            <w:top w:w="0" w:type="dxa"/>
            <w:left w:w="108" w:type="dxa"/>
            <w:bottom w:w="0" w:type="dxa"/>
            <w:right w:w="108" w:type="dxa"/>
          </w:tblCellMar>
        </w:tblPrEx>
        <w:trPr>
          <w:trHeight w:val="510" w:hRule="atLeast"/>
        </w:trPr>
        <w:tc>
          <w:tcPr>
            <w:tcW w:w="13740" w:type="dxa"/>
            <w:gridSpan w:val="4"/>
            <w:tcBorders>
              <w:top w:val="nil"/>
              <w:left w:val="nil"/>
              <w:bottom w:val="nil"/>
              <w:right w:val="nil"/>
            </w:tcBorders>
            <w:vAlign w:val="center"/>
          </w:tcPr>
          <w:p>
            <w:pPr>
              <w:widowControl/>
              <w:jc w:val="both"/>
              <w:rPr>
                <w:rFonts w:ascii="宋体" w:hAnsi="宋体" w:cs="宋体"/>
                <w:b/>
                <w:bCs/>
                <w:kern w:val="0"/>
                <w:szCs w:val="21"/>
              </w:rPr>
            </w:pPr>
            <w:bookmarkStart w:id="0" w:name="_GoBack"/>
            <w:bookmarkEnd w:id="0"/>
            <w:r>
              <w:rPr>
                <w:rFonts w:hint="eastAsia" w:ascii="宋体" w:hAnsi="宋体" w:cs="宋体"/>
                <w:b/>
                <w:bCs/>
                <w:kern w:val="0"/>
                <w:szCs w:val="21"/>
              </w:rPr>
              <w:t>单位（盖章）：                    申报人：          申报级别：正高（  ）    副高（  ）   基层副高（  ）</w:t>
            </w:r>
          </w:p>
        </w:tc>
      </w:tr>
      <w:tr>
        <w:tblPrEx>
          <w:tblLayout w:type="fixed"/>
          <w:tblCellMar>
            <w:top w:w="0" w:type="dxa"/>
            <w:left w:w="108" w:type="dxa"/>
            <w:bottom w:w="0" w:type="dxa"/>
            <w:right w:w="108" w:type="dxa"/>
          </w:tblCellMar>
        </w:tblPrEx>
        <w:trPr>
          <w:trHeight w:val="510" w:hRule="atLeast"/>
        </w:trPr>
        <w:tc>
          <w:tcPr>
            <w:tcW w:w="2940" w:type="dxa"/>
            <w:tcBorders>
              <w:top w:val="single" w:color="auto" w:sz="4" w:space="0"/>
              <w:left w:val="single" w:color="auto" w:sz="4" w:space="0"/>
              <w:bottom w:val="nil"/>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考核项目</w:t>
            </w:r>
          </w:p>
        </w:tc>
        <w:tc>
          <w:tcPr>
            <w:tcW w:w="40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考核标准</w:t>
            </w:r>
          </w:p>
        </w:tc>
        <w:tc>
          <w:tcPr>
            <w:tcW w:w="3300" w:type="dxa"/>
            <w:tcBorders>
              <w:top w:val="single" w:color="auto" w:sz="4" w:space="0"/>
              <w:left w:val="nil"/>
              <w:bottom w:val="single" w:color="auto" w:sz="4" w:space="0"/>
              <w:right w:val="nil"/>
            </w:tcBorders>
            <w:vAlign w:val="center"/>
          </w:tcPr>
          <w:p>
            <w:pPr>
              <w:widowControl/>
              <w:jc w:val="center"/>
              <w:rPr>
                <w:rFonts w:ascii="宋体" w:hAnsi="宋体" w:cs="宋体"/>
                <w:b/>
                <w:bCs/>
                <w:kern w:val="0"/>
                <w:szCs w:val="21"/>
              </w:rPr>
            </w:pPr>
            <w:r>
              <w:rPr>
                <w:rFonts w:hint="eastAsia" w:ascii="宋体" w:hAnsi="宋体" w:cs="宋体"/>
                <w:b/>
                <w:bCs/>
                <w:kern w:val="0"/>
                <w:szCs w:val="21"/>
              </w:rPr>
              <w:t>近5年实际完成工作数量</w:t>
            </w:r>
          </w:p>
        </w:tc>
        <w:tc>
          <w:tcPr>
            <w:tcW w:w="34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Cs w:val="21"/>
              </w:rPr>
            </w:pPr>
            <w:r>
              <w:rPr>
                <w:rFonts w:hint="eastAsia" w:ascii="宋体" w:hAnsi="宋体" w:cs="宋体"/>
                <w:b/>
                <w:bCs/>
                <w:kern w:val="0"/>
                <w:szCs w:val="21"/>
              </w:rPr>
              <w:t>单位责任科室意见</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参加临床用药讨论或指导患者用药</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高：平均每年不少于20次</w:t>
            </w:r>
          </w:p>
        </w:tc>
        <w:tc>
          <w:tcPr>
            <w:tcW w:w="3300" w:type="dxa"/>
            <w:vMerge w:val="restart"/>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完成总量：    次（张），         平均每年：    次（张）。</w:t>
            </w: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高：平均每年不少于10次</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调剂处方</w:t>
            </w:r>
          </w:p>
        </w:tc>
        <w:tc>
          <w:tcPr>
            <w:tcW w:w="4040" w:type="dxa"/>
            <w:tcBorders>
              <w:top w:val="nil"/>
              <w:left w:val="nil"/>
              <w:bottom w:val="single" w:color="auto" w:sz="4" w:space="0"/>
              <w:right w:val="nil"/>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基层副高：平均每年不少于1000张</w:t>
            </w:r>
          </w:p>
        </w:tc>
        <w:tc>
          <w:tcPr>
            <w:tcW w:w="3300" w:type="dxa"/>
            <w:vMerge w:val="continue"/>
            <w:tcBorders>
              <w:top w:val="nil"/>
              <w:left w:val="single" w:color="auto" w:sz="4" w:space="0"/>
              <w:bottom w:val="single" w:color="auto" w:sz="4" w:space="0"/>
              <w:right w:val="nil"/>
            </w:tcBorders>
            <w:vAlign w:val="center"/>
          </w:tcPr>
          <w:p>
            <w:pPr>
              <w:widowControl/>
              <w:jc w:val="center"/>
              <w:rPr>
                <w:rFonts w:ascii="宋体" w:hAnsi="宋体" w:cs="宋体"/>
                <w:kern w:val="0"/>
                <w:szCs w:val="21"/>
              </w:rPr>
            </w:pPr>
          </w:p>
        </w:tc>
        <w:tc>
          <w:tcPr>
            <w:tcW w:w="346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作学术报告和业务培训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高：平均每年不少于4次</w:t>
            </w:r>
          </w:p>
        </w:tc>
        <w:tc>
          <w:tcPr>
            <w:tcW w:w="330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开展总量：       次，         平均每年：       次。</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开展业务培训</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基层副高：平均每年不少于2次</w:t>
            </w:r>
          </w:p>
        </w:tc>
        <w:tc>
          <w:tcPr>
            <w:tcW w:w="3300"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r>
        <w:tblPrEx>
          <w:tblLayout w:type="fixed"/>
          <w:tblCellMar>
            <w:top w:w="0" w:type="dxa"/>
            <w:left w:w="108" w:type="dxa"/>
            <w:bottom w:w="0" w:type="dxa"/>
            <w:right w:w="108" w:type="dxa"/>
          </w:tblCellMar>
        </w:tblPrEx>
        <w:trPr>
          <w:trHeight w:val="510" w:hRule="atLeast"/>
        </w:trPr>
        <w:tc>
          <w:tcPr>
            <w:tcW w:w="294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带教下级医师</w:t>
            </w: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正    高：平均每年不少于4人</w:t>
            </w:r>
          </w:p>
        </w:tc>
        <w:tc>
          <w:tcPr>
            <w:tcW w:w="33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带教总量：       人，         平均每年：       人。</w:t>
            </w: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副    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nil"/>
              <w:right w:val="single" w:color="auto" w:sz="4" w:space="0"/>
            </w:tcBorders>
            <w:vAlign w:val="center"/>
          </w:tcPr>
          <w:p>
            <w:pPr>
              <w:widowControl/>
              <w:jc w:val="center"/>
              <w:rPr>
                <w:rFonts w:ascii="宋体" w:hAnsi="宋体" w:cs="宋体"/>
                <w:kern w:val="0"/>
                <w:szCs w:val="21"/>
              </w:rPr>
            </w:pPr>
          </w:p>
        </w:tc>
      </w:tr>
      <w:tr>
        <w:tblPrEx>
          <w:tblLayout w:type="fixed"/>
          <w:tblCellMar>
            <w:top w:w="0" w:type="dxa"/>
            <w:left w:w="108" w:type="dxa"/>
            <w:bottom w:w="0" w:type="dxa"/>
            <w:right w:w="108" w:type="dxa"/>
          </w:tblCellMar>
        </w:tblPrEx>
        <w:trPr>
          <w:trHeight w:val="510" w:hRule="atLeast"/>
        </w:trPr>
        <w:tc>
          <w:tcPr>
            <w:tcW w:w="294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404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基层副高：平均每年不少于2人</w:t>
            </w:r>
          </w:p>
        </w:tc>
        <w:tc>
          <w:tcPr>
            <w:tcW w:w="33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Cs w:val="21"/>
              </w:rPr>
            </w:pPr>
          </w:p>
        </w:tc>
        <w:tc>
          <w:tcPr>
            <w:tcW w:w="3460" w:type="dxa"/>
            <w:tcBorders>
              <w:top w:val="nil"/>
              <w:left w:val="nil"/>
              <w:bottom w:val="single" w:color="auto" w:sz="4" w:space="0"/>
              <w:right w:val="single" w:color="auto" w:sz="4" w:space="0"/>
            </w:tcBorders>
            <w:vAlign w:val="center"/>
          </w:tcPr>
          <w:p>
            <w:pPr>
              <w:widowControl/>
              <w:jc w:val="center"/>
              <w:rPr>
                <w:rFonts w:ascii="宋体" w:hAnsi="宋体" w:cs="宋体"/>
                <w:kern w:val="0"/>
                <w:szCs w:val="21"/>
              </w:rPr>
            </w:pPr>
            <w:r>
              <w:rPr>
                <w:rFonts w:hint="eastAsia" w:ascii="宋体" w:hAnsi="宋体" w:cs="宋体"/>
                <w:kern w:val="0"/>
                <w:szCs w:val="21"/>
              </w:rPr>
              <w:t>科室负责人：</w:t>
            </w:r>
          </w:p>
        </w:tc>
      </w:tr>
    </w:tbl>
    <w:p>
      <w:pPr>
        <w:spacing w:line="40" w:lineRule="exact"/>
        <w:jc w:val="center"/>
        <w:rPr>
          <w:rFonts w:hint="eastAsia"/>
        </w:rPr>
      </w:pPr>
    </w:p>
    <w:p>
      <w:pPr>
        <w:spacing w:line="40" w:lineRule="exact"/>
        <w:jc w:val="center"/>
        <w:rPr>
          <w:rFonts w:hint="eastAsia"/>
        </w:rPr>
      </w:pPr>
    </w:p>
    <w:p>
      <w:pPr>
        <w:spacing w:line="40" w:lineRule="exact"/>
        <w:jc w:val="center"/>
        <w:rPr>
          <w:rFonts w:hint="eastAsia"/>
        </w:rPr>
      </w:pPr>
    </w:p>
    <w:p>
      <w:pPr>
        <w:spacing w:line="40" w:lineRule="exact"/>
        <w:jc w:val="center"/>
        <w:rPr>
          <w:rFonts w:hint="eastAsia"/>
        </w:rPr>
      </w:pPr>
    </w:p>
    <w:p>
      <w:pPr>
        <w:jc w:val="cente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中宋">
    <w:altName w:val="微软雅黑"/>
    <w:panose1 w:val="02010600040101010101"/>
    <w:charset w:val="86"/>
    <w:family w:val="auto"/>
    <w:pitch w:val="default"/>
    <w:sig w:usb0="00000000" w:usb1="00000000" w:usb2="00000000" w:usb3="00000000" w:csb0="0004009F" w:csb1="DFD7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B6DCF"/>
    <w:rsid w:val="245B6401"/>
    <w:rsid w:val="43A57FB6"/>
    <w:rsid w:val="72003D8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2016-07-26T08:52:27Z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